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20" w:rsidRDefault="00B97C05">
      <w:pPr>
        <w:jc w:val="center"/>
        <w:rPr>
          <w:rFonts w:eastAsia="MS Mincho"/>
          <w:b/>
          <w:bCs/>
          <w:caps/>
        </w:rPr>
      </w:pPr>
      <w:r>
        <w:rPr>
          <w:rFonts w:eastAsia="MS Mincho"/>
          <w:b/>
          <w:bCs/>
          <w:caps/>
        </w:rPr>
        <w:t xml:space="preserve">IN THE UNITED STATES BANKRUPTCY COURT </w:t>
      </w:r>
      <w:r>
        <w:rPr>
          <w:rFonts w:eastAsia="MS Mincho"/>
          <w:b/>
          <w:bCs/>
          <w:caps/>
        </w:rPr>
        <w:br/>
        <w:t>for the Northern District of Alabama</w:t>
      </w:r>
    </w:p>
    <w:p w:rsidR="00471520" w:rsidRDefault="00B97C05">
      <w:pPr>
        <w:jc w:val="center"/>
        <w:rPr>
          <w:rFonts w:eastAsia="MS Mincho"/>
          <w:b/>
          <w:bCs/>
          <w:caps/>
        </w:rPr>
      </w:pPr>
      <w:r>
        <w:rPr>
          <w:rFonts w:eastAsia="MS Mincho"/>
          <w:b/>
          <w:bCs/>
          <w:caps/>
        </w:rPr>
        <w:t>southern division</w:t>
      </w:r>
    </w:p>
    <w:p w:rsidR="00471520" w:rsidRDefault="00471520">
      <w:pPr>
        <w:jc w:val="center"/>
        <w:rPr>
          <w:rFonts w:eastAsia="MS Mincho"/>
          <w:b/>
          <w:bCs/>
          <w:caps/>
        </w:rPr>
      </w:pPr>
    </w:p>
    <w:tbl>
      <w:tblPr>
        <w:tblW w:w="9576" w:type="dxa"/>
        <w:tblLook w:val="0000"/>
      </w:tblPr>
      <w:tblGrid>
        <w:gridCol w:w="4968"/>
        <w:gridCol w:w="720"/>
        <w:gridCol w:w="3888"/>
      </w:tblGrid>
      <w:tr w:rsidR="00471520">
        <w:tc>
          <w:tcPr>
            <w:tcW w:w="4968" w:type="dxa"/>
            <w:tcBorders>
              <w:top w:val="single" w:sz="4" w:space="0" w:color="auto"/>
            </w:tcBorders>
          </w:tcPr>
          <w:p w:rsidR="00471520" w:rsidRDefault="00471520">
            <w:pPr>
              <w:rPr>
                <w:szCs w:val="20"/>
              </w:rPr>
            </w:pPr>
          </w:p>
        </w:tc>
        <w:tc>
          <w:tcPr>
            <w:tcW w:w="720" w:type="dxa"/>
          </w:tcPr>
          <w:p w:rsidR="00471520" w:rsidRDefault="00B97C05">
            <w:pPr>
              <w:rPr>
                <w:szCs w:val="20"/>
              </w:rPr>
            </w:pPr>
            <w:r>
              <w:rPr>
                <w:szCs w:val="20"/>
              </w:rPr>
              <w:t>)</w:t>
            </w:r>
          </w:p>
        </w:tc>
        <w:tc>
          <w:tcPr>
            <w:tcW w:w="3888" w:type="dxa"/>
          </w:tcPr>
          <w:p w:rsidR="00471520" w:rsidRDefault="00471520">
            <w:pPr>
              <w:rPr>
                <w:szCs w:val="20"/>
              </w:rPr>
            </w:pPr>
          </w:p>
        </w:tc>
      </w:tr>
      <w:tr w:rsidR="00471520">
        <w:tc>
          <w:tcPr>
            <w:tcW w:w="4968" w:type="dxa"/>
          </w:tcPr>
          <w:p w:rsidR="00471520" w:rsidRDefault="00B97C05">
            <w:pPr>
              <w:rPr>
                <w:szCs w:val="20"/>
              </w:rPr>
            </w:pPr>
            <w:r>
              <w:rPr>
                <w:szCs w:val="20"/>
              </w:rPr>
              <w:t>In re:</w:t>
            </w:r>
          </w:p>
        </w:tc>
        <w:tc>
          <w:tcPr>
            <w:tcW w:w="720" w:type="dxa"/>
          </w:tcPr>
          <w:p w:rsidR="00471520" w:rsidRDefault="00B97C05">
            <w:pPr>
              <w:rPr>
                <w:szCs w:val="20"/>
              </w:rPr>
            </w:pPr>
            <w:r>
              <w:rPr>
                <w:szCs w:val="20"/>
              </w:rPr>
              <w:t>)</w:t>
            </w:r>
          </w:p>
        </w:tc>
        <w:tc>
          <w:tcPr>
            <w:tcW w:w="3888" w:type="dxa"/>
          </w:tcPr>
          <w:p w:rsidR="00471520" w:rsidRDefault="00B97C05">
            <w:pPr>
              <w:rPr>
                <w:szCs w:val="20"/>
              </w:rPr>
            </w:pPr>
            <w:r>
              <w:rPr>
                <w:szCs w:val="20"/>
              </w:rPr>
              <w:t>Chapter 11</w:t>
            </w:r>
          </w:p>
        </w:tc>
      </w:tr>
      <w:tr w:rsidR="00471520">
        <w:tc>
          <w:tcPr>
            <w:tcW w:w="4968" w:type="dxa"/>
          </w:tcPr>
          <w:p w:rsidR="00471520" w:rsidRDefault="00471520">
            <w:pPr>
              <w:rPr>
                <w:szCs w:val="20"/>
              </w:rPr>
            </w:pPr>
          </w:p>
        </w:tc>
        <w:tc>
          <w:tcPr>
            <w:tcW w:w="720" w:type="dxa"/>
          </w:tcPr>
          <w:p w:rsidR="00471520" w:rsidRDefault="00B97C05">
            <w:pPr>
              <w:rPr>
                <w:szCs w:val="20"/>
              </w:rPr>
            </w:pPr>
            <w:r>
              <w:rPr>
                <w:szCs w:val="20"/>
              </w:rPr>
              <w:t>)</w:t>
            </w:r>
          </w:p>
        </w:tc>
        <w:tc>
          <w:tcPr>
            <w:tcW w:w="3888" w:type="dxa"/>
          </w:tcPr>
          <w:p w:rsidR="00471520" w:rsidRDefault="00471520">
            <w:pPr>
              <w:rPr>
                <w:szCs w:val="20"/>
              </w:rPr>
            </w:pPr>
          </w:p>
        </w:tc>
      </w:tr>
      <w:tr w:rsidR="00471520">
        <w:tc>
          <w:tcPr>
            <w:tcW w:w="4968" w:type="dxa"/>
          </w:tcPr>
          <w:p w:rsidR="00471520" w:rsidRDefault="00B97C05">
            <w:pPr>
              <w:rPr>
                <w:szCs w:val="20"/>
              </w:rPr>
            </w:pPr>
            <w:r>
              <w:rPr>
                <w:szCs w:val="20"/>
              </w:rPr>
              <w:t xml:space="preserve">WALTER ENERGY, INC., </w:t>
            </w:r>
            <w:r>
              <w:rPr>
                <w:i/>
                <w:szCs w:val="20"/>
              </w:rPr>
              <w:t>et al</w:t>
            </w:r>
            <w:r>
              <w:rPr>
                <w:szCs w:val="20"/>
              </w:rPr>
              <w:t>.</w:t>
            </w:r>
          </w:p>
        </w:tc>
        <w:tc>
          <w:tcPr>
            <w:tcW w:w="720" w:type="dxa"/>
          </w:tcPr>
          <w:p w:rsidR="00471520" w:rsidRDefault="00B97C05">
            <w:pPr>
              <w:rPr>
                <w:szCs w:val="20"/>
              </w:rPr>
            </w:pPr>
            <w:r>
              <w:rPr>
                <w:szCs w:val="20"/>
              </w:rPr>
              <w:t>)</w:t>
            </w:r>
          </w:p>
        </w:tc>
        <w:tc>
          <w:tcPr>
            <w:tcW w:w="3888" w:type="dxa"/>
          </w:tcPr>
          <w:p w:rsidR="00471520" w:rsidRDefault="00B97C05">
            <w:pPr>
              <w:rPr>
                <w:szCs w:val="20"/>
                <w:u w:val="single"/>
              </w:rPr>
            </w:pPr>
            <w:r>
              <w:rPr>
                <w:szCs w:val="20"/>
              </w:rPr>
              <w:t>Case No. 15-02741-TOM11</w:t>
            </w:r>
          </w:p>
        </w:tc>
      </w:tr>
      <w:tr w:rsidR="00471520">
        <w:tc>
          <w:tcPr>
            <w:tcW w:w="4968" w:type="dxa"/>
          </w:tcPr>
          <w:p w:rsidR="00471520" w:rsidRDefault="00471520">
            <w:pPr>
              <w:rPr>
                <w:szCs w:val="20"/>
              </w:rPr>
            </w:pPr>
          </w:p>
        </w:tc>
        <w:tc>
          <w:tcPr>
            <w:tcW w:w="720" w:type="dxa"/>
          </w:tcPr>
          <w:p w:rsidR="00471520" w:rsidRDefault="00B97C05">
            <w:pPr>
              <w:rPr>
                <w:szCs w:val="20"/>
              </w:rPr>
            </w:pPr>
            <w:r>
              <w:rPr>
                <w:szCs w:val="20"/>
              </w:rPr>
              <w:t>)</w:t>
            </w:r>
          </w:p>
        </w:tc>
        <w:tc>
          <w:tcPr>
            <w:tcW w:w="3888" w:type="dxa"/>
          </w:tcPr>
          <w:p w:rsidR="00471520" w:rsidRDefault="00471520">
            <w:pPr>
              <w:rPr>
                <w:szCs w:val="20"/>
              </w:rPr>
            </w:pPr>
          </w:p>
        </w:tc>
      </w:tr>
      <w:tr w:rsidR="00471520">
        <w:tc>
          <w:tcPr>
            <w:tcW w:w="4968" w:type="dxa"/>
          </w:tcPr>
          <w:p w:rsidR="00471520" w:rsidRDefault="00B97C05">
            <w:pPr>
              <w:rPr>
                <w:szCs w:val="20"/>
              </w:rPr>
            </w:pPr>
            <w:r>
              <w:rPr>
                <w:szCs w:val="20"/>
              </w:rPr>
              <w:tab/>
            </w:r>
            <w:r>
              <w:rPr>
                <w:szCs w:val="20"/>
              </w:rPr>
              <w:tab/>
            </w:r>
            <w:r>
              <w:rPr>
                <w:szCs w:val="20"/>
              </w:rPr>
              <w:tab/>
            </w:r>
            <w:r>
              <w:rPr>
                <w:szCs w:val="20"/>
              </w:rPr>
              <w:tab/>
              <w:t>Debtors.</w:t>
            </w:r>
            <w:r>
              <w:rPr>
                <w:szCs w:val="20"/>
                <w:vertAlign w:val="superscript"/>
              </w:rPr>
              <w:footnoteReference w:id="1"/>
            </w:r>
          </w:p>
        </w:tc>
        <w:tc>
          <w:tcPr>
            <w:tcW w:w="720" w:type="dxa"/>
          </w:tcPr>
          <w:p w:rsidR="00471520" w:rsidRDefault="00B97C05">
            <w:pPr>
              <w:rPr>
                <w:szCs w:val="20"/>
              </w:rPr>
            </w:pPr>
            <w:r>
              <w:rPr>
                <w:szCs w:val="20"/>
              </w:rPr>
              <w:t>)</w:t>
            </w:r>
          </w:p>
        </w:tc>
        <w:tc>
          <w:tcPr>
            <w:tcW w:w="3888" w:type="dxa"/>
          </w:tcPr>
          <w:p w:rsidR="00471520" w:rsidRDefault="00B97C05">
            <w:pPr>
              <w:rPr>
                <w:szCs w:val="20"/>
              </w:rPr>
            </w:pPr>
            <w:r>
              <w:rPr>
                <w:szCs w:val="20"/>
              </w:rPr>
              <w:t>(Jointly Administered)</w:t>
            </w:r>
          </w:p>
        </w:tc>
      </w:tr>
      <w:tr w:rsidR="00471520">
        <w:tc>
          <w:tcPr>
            <w:tcW w:w="4968" w:type="dxa"/>
            <w:tcBorders>
              <w:bottom w:val="single" w:sz="4" w:space="0" w:color="auto"/>
            </w:tcBorders>
          </w:tcPr>
          <w:p w:rsidR="00471520" w:rsidRDefault="00471520">
            <w:pPr>
              <w:rPr>
                <w:szCs w:val="20"/>
              </w:rPr>
            </w:pPr>
          </w:p>
        </w:tc>
        <w:tc>
          <w:tcPr>
            <w:tcW w:w="720" w:type="dxa"/>
          </w:tcPr>
          <w:p w:rsidR="00471520" w:rsidRDefault="00B97C05">
            <w:pPr>
              <w:rPr>
                <w:szCs w:val="20"/>
              </w:rPr>
            </w:pPr>
            <w:r>
              <w:rPr>
                <w:szCs w:val="20"/>
              </w:rPr>
              <w:t>)</w:t>
            </w:r>
          </w:p>
        </w:tc>
        <w:tc>
          <w:tcPr>
            <w:tcW w:w="3888" w:type="dxa"/>
          </w:tcPr>
          <w:p w:rsidR="00471520" w:rsidRDefault="00471520">
            <w:pPr>
              <w:rPr>
                <w:szCs w:val="20"/>
              </w:rPr>
            </w:pPr>
          </w:p>
        </w:tc>
      </w:tr>
    </w:tbl>
    <w:p w:rsidR="00471520" w:rsidRDefault="00471520">
      <w:pPr>
        <w:pStyle w:val="Title"/>
        <w:spacing w:after="0"/>
      </w:pPr>
    </w:p>
    <w:p w:rsidR="00471520" w:rsidRDefault="00B97C05">
      <w:pPr>
        <w:pStyle w:val="Title"/>
        <w:spacing w:after="0"/>
      </w:pPr>
      <w:r>
        <w:t>ORDER (I) APPROVING THE</w:t>
      </w:r>
      <w:r>
        <w:t xml:space="preserve"> SALE OF</w:t>
      </w:r>
    </w:p>
    <w:p w:rsidR="00471520" w:rsidRDefault="00B97C05">
      <w:pPr>
        <w:pStyle w:val="Title"/>
        <w:spacing w:after="0"/>
      </w:pPr>
      <w:r>
        <w:t>THE ACQUIRED ASSETS FREE AND CLEAR OF CLAIMS,</w:t>
      </w:r>
    </w:p>
    <w:p w:rsidR="00471520" w:rsidRDefault="00B97C05">
      <w:pPr>
        <w:pStyle w:val="Title"/>
        <w:spacing w:after="0"/>
      </w:pPr>
      <w:r>
        <w:t xml:space="preserve">LIENS, INTERESTS AND ENCUMBRANCES; (II) APPROVING </w:t>
      </w:r>
    </w:p>
    <w:p w:rsidR="00471520" w:rsidRDefault="00B97C05">
      <w:pPr>
        <w:pStyle w:val="Title"/>
        <w:spacing w:after="0"/>
      </w:pPr>
      <w:r>
        <w:t>THE ASSUMPTION AND ASSIGNMENT OF certain EXECUTORY</w:t>
      </w:r>
    </w:p>
    <w:p w:rsidR="00471520" w:rsidRDefault="00B97C05">
      <w:pPr>
        <w:pStyle w:val="Title"/>
        <w:spacing w:after="0"/>
        <w:rPr>
          <w:u w:val="single"/>
        </w:rPr>
      </w:pPr>
      <w:r>
        <w:rPr>
          <w:u w:val="single"/>
        </w:rPr>
        <w:t>CONTRACTS AND UNEXPIRED LEASES; AND (III) granting RELATED RELIEF</w:t>
      </w:r>
    </w:p>
    <w:p w:rsidR="00471520" w:rsidRDefault="00471520">
      <w:pPr>
        <w:pStyle w:val="BodyText"/>
        <w:spacing w:line="240" w:lineRule="auto"/>
      </w:pPr>
    </w:p>
    <w:p w:rsidR="00471520" w:rsidRDefault="00B97C05">
      <w:pPr>
        <w:pStyle w:val="BodyText"/>
        <w:spacing w:line="480" w:lineRule="auto"/>
        <w:ind w:firstLine="1440"/>
      </w:pPr>
      <w:r>
        <w:t>Upon the motion [Docket No. 993]</w:t>
      </w:r>
      <w:r>
        <w:t xml:space="preserve"> (the “</w:t>
      </w:r>
      <w:r>
        <w:rPr>
          <w:b/>
          <w:u w:val="single"/>
        </w:rPr>
        <w:t>Motion</w:t>
      </w:r>
      <w:r>
        <w:t>”)</w:t>
      </w:r>
      <w:r>
        <w:rPr>
          <w:vertAlign w:val="superscript"/>
        </w:rPr>
        <w:footnoteReference w:id="2"/>
      </w:r>
      <w:r>
        <w:t xml:space="preserve"> of the Debtors dated November 5, 2015 for, among other things, entry of an order (the “</w:t>
      </w:r>
      <w:r>
        <w:rPr>
          <w:b/>
          <w:u w:val="single"/>
        </w:rPr>
        <w:t>Order</w:t>
      </w:r>
      <w:r>
        <w:t>”) (I) approving the sale of the Acquired Assets pursuant to the Stalking Horse Agreement, as amended, and which for purposes of this Order shall i</w:t>
      </w:r>
      <w:r>
        <w:t>nclude all exhibits, schedules and ancillary documents related thereto, including all Transaction Documents (as defined therein) and the Escrow and Trust Agreements referred to herein (the “</w:t>
      </w:r>
      <w:r>
        <w:rPr>
          <w:b/>
          <w:u w:val="single"/>
        </w:rPr>
        <w:t>Sale Transaction</w:t>
      </w:r>
      <w:r>
        <w:t xml:space="preserve">”) free and clear of all claims, liens, interests </w:t>
      </w:r>
      <w:r>
        <w:t>and encumbrances; (II) authorizing the assumption and assignment of certain executory contracts and unexpired leases (the “</w:t>
      </w:r>
      <w:r>
        <w:rPr>
          <w:b/>
          <w:u w:val="single"/>
        </w:rPr>
        <w:t>Assumed Contracts</w:t>
      </w:r>
      <w:r>
        <w:t xml:space="preserve">”) and the assumption of the Assumed Liabilities, each as more fully described in the Stalking Horse Agreement; and </w:t>
      </w:r>
      <w:r>
        <w:t xml:space="preserve">(III) granting </w:t>
      </w:r>
      <w:r>
        <w:lastRenderedPageBreak/>
        <w:t>related relief; and the Court having held a hearing on January [6], 2016 (the “</w:t>
      </w:r>
      <w:r>
        <w:rPr>
          <w:b/>
          <w:u w:val="single"/>
        </w:rPr>
        <w:t>Sale Hearing</w:t>
      </w:r>
      <w:r>
        <w:t>”) to approve the Sale Transaction; and the Court having reviewed and considered the relief sought in the Motion, the declarations of [__________] sub</w:t>
      </w:r>
      <w:r>
        <w:t xml:space="preserve">mitted in support of the Motion, all objections to the Motion, and the arguments of counsel made, and the evidence proffered or adduced, at the Sale Hearing; and all parties in interest having been heard or having had the opportunity to be heard regarding </w:t>
      </w:r>
      <w:r>
        <w:t>the Sale Transaction and the relief requested in this Order; and due and sufficient notice of the Sale Hearing and the relief sought therein having been given under the particular circumstances and in accordance with the Bidding Procedures Order; and it ap</w:t>
      </w:r>
      <w:r>
        <w:t>pearing that no other or further notice need be provided; and it appearing that the relief requested in Motion is in the best interests of the Debtors, their estates, their creditors and other parties in interest; and upon the record of the Sale Hearing an</w:t>
      </w:r>
      <w:r>
        <w:t>d these Chapter 11 Cases, and after due deliberation thereon, and good cause appearing therefor, it is hereby</w:t>
      </w:r>
    </w:p>
    <w:p w:rsidR="00471520" w:rsidRDefault="00B97C05">
      <w:pPr>
        <w:pStyle w:val="BodyText"/>
        <w:spacing w:line="480" w:lineRule="auto"/>
        <w:rPr>
          <w:b/>
        </w:rPr>
      </w:pPr>
      <w:r>
        <w:rPr>
          <w:b/>
        </w:rPr>
        <w:t>FOUND, CONCLUDED AND DETERMINED THAT:</w:t>
      </w:r>
      <w:r>
        <w:rPr>
          <w:rStyle w:val="FootnoteReference"/>
        </w:rPr>
        <w:footnoteReference w:id="3"/>
      </w:r>
    </w:p>
    <w:p w:rsidR="00471520" w:rsidRDefault="00B97C05">
      <w:pPr>
        <w:pStyle w:val="Pleading1L1"/>
        <w:tabs>
          <w:tab w:val="clear" w:pos="1440"/>
        </w:tabs>
        <w:spacing w:line="480" w:lineRule="auto"/>
        <w:ind w:firstLine="1440"/>
      </w:pPr>
      <w:r>
        <w:rPr>
          <w:rFonts w:eastAsia="Calibri"/>
          <w:szCs w:val="24"/>
        </w:rPr>
        <w:t>This Court has jurisdiction to consider this Motion under 28 U.S.C. §§ 157 and 1334.  This is a core procee</w:t>
      </w:r>
      <w:r>
        <w:rPr>
          <w:rFonts w:eastAsia="Calibri"/>
          <w:szCs w:val="24"/>
        </w:rPr>
        <w:t>ding under 28 U.S.C. § 157(b).  Venue of these cases and this Motion in this District is proper under 28 U.S.C. §§ 1408 and 1409.  The legal predicates for the relief requested in the Motion are Bankruptcy Code sections 105, 363, 364, 365 and 503.  Such re</w:t>
      </w:r>
      <w:r>
        <w:rPr>
          <w:rFonts w:eastAsia="Calibri"/>
          <w:szCs w:val="24"/>
        </w:rPr>
        <w:t>lief is also warranted pursuant to Bankruptcy Rules 2002, 6004, 6006, 9006, 9007, and 9014</w:t>
      </w:r>
      <w:r>
        <w:t>.</w:t>
      </w:r>
    </w:p>
    <w:p w:rsidR="00471520" w:rsidRDefault="00B97C05">
      <w:pPr>
        <w:pStyle w:val="Pleading1L1"/>
        <w:spacing w:line="480" w:lineRule="auto"/>
        <w:ind w:firstLine="1440"/>
      </w:pPr>
      <w:r>
        <w:t>On November 25, 2015, the Court entered an order [Docket No. 1119] (the “</w:t>
      </w:r>
      <w:r>
        <w:rPr>
          <w:b/>
          <w:u w:val="single"/>
        </w:rPr>
        <w:t>Bidding Procedures Order</w:t>
      </w:r>
      <w:r>
        <w:t>”), which, among other things, (i</w:t>
      </w:r>
      <w:r>
        <w:t xml:space="preserve">) approved the Bidding Procedures and Bid Protections, (ii) authorized the Assumption and Assignment Procedures, (iii) </w:t>
      </w:r>
      <w:r>
        <w:lastRenderedPageBreak/>
        <w:t>approved the form and manner of notice of the Sale Transaction and the other procedures, protections, schedules and agreements related th</w:t>
      </w:r>
      <w:r>
        <w:t>ereto, and (iv) scheduled the Auction and the Sale Hearing.</w:t>
      </w:r>
    </w:p>
    <w:p w:rsidR="00471520" w:rsidRDefault="00B97C05">
      <w:pPr>
        <w:pStyle w:val="Pleading1L1"/>
        <w:spacing w:line="480" w:lineRule="auto"/>
        <w:ind w:firstLine="1440"/>
      </w:pPr>
      <w:r>
        <w:rPr>
          <w:rFonts w:eastAsia="Calibri"/>
          <w:szCs w:val="24"/>
        </w:rPr>
        <w:t>The relief granted herein is in the best interests of the Debtors, their estates and creditors, and other parties in interest.</w:t>
      </w:r>
    </w:p>
    <w:p w:rsidR="00471520" w:rsidRDefault="00B97C05">
      <w:pPr>
        <w:pStyle w:val="Pleading1L1"/>
        <w:spacing w:line="480" w:lineRule="auto"/>
        <w:ind w:firstLine="1440"/>
      </w:pPr>
      <w:r>
        <w:t>The Debtors have articulated good and sufficient business reasons for</w:t>
      </w:r>
      <w:r>
        <w:t xml:space="preserve"> the Court to authorize (i) the Debtors’ entry into the Stalking Horse Agreement and consummation of the Sale of the Acquired Assets to the Stalking Horse Purchaser or any Buyer Designee and (ii) the assumption and assignment of the Assumed Contracts and A</w:t>
      </w:r>
      <w:r>
        <w:t>ssumed Liabilities as set forth herein and in the Stalking Horse Agreement.</w:t>
      </w:r>
    </w:p>
    <w:p w:rsidR="00471520" w:rsidRDefault="00B97C05">
      <w:pPr>
        <w:pStyle w:val="Pleading1L1"/>
        <w:spacing w:line="480" w:lineRule="auto"/>
        <w:ind w:firstLine="1440"/>
        <w:rPr>
          <w:lang w:eastAsia="zh-CN"/>
        </w:rPr>
      </w:pPr>
      <w:r>
        <w:rPr>
          <w:lang w:eastAsia="zh-CN"/>
        </w:rPr>
        <w:t>Sound business justifications also exist for the establishment of the various escrow and trust accounts (the “</w:t>
      </w:r>
      <w:r>
        <w:rPr>
          <w:u w:val="single"/>
          <w:lang w:eastAsia="zh-CN"/>
        </w:rPr>
        <w:t>Escrow and Trust Arrangements</w:t>
      </w:r>
      <w:r>
        <w:rPr>
          <w:lang w:eastAsia="zh-CN"/>
        </w:rPr>
        <w:t>”) pursuant to the escrow and trust agree</w:t>
      </w:r>
      <w:r>
        <w:rPr>
          <w:lang w:eastAsia="zh-CN"/>
        </w:rPr>
        <w:t>ments (the “</w:t>
      </w:r>
      <w:r>
        <w:rPr>
          <w:u w:val="single"/>
          <w:lang w:eastAsia="zh-CN"/>
        </w:rPr>
        <w:t>Escrow and Trust Agreements</w:t>
      </w:r>
      <w:r>
        <w:rPr>
          <w:lang w:eastAsia="zh-CN"/>
        </w:rPr>
        <w:t>”) as provided in Section 4.2 of the Stalking Horse Agreement.  The Escrow and Trust Arrangements will avoid a freefall shutdown of the Debtors’ remaining estates, provide for, among other things, the payment of accru</w:t>
      </w:r>
      <w:r>
        <w:rPr>
          <w:lang w:eastAsia="zh-CN"/>
        </w:rPr>
        <w:t>ed and unpaid (i) professional fees and expenses and (ii) payroll and other related expenses, each in accordance with the Stalking Horse Agreement, and provide a mechanism to assist in the orderly and responsible winddown of any Excluded Assets not otherwi</w:t>
      </w:r>
      <w:r>
        <w:rPr>
          <w:lang w:eastAsia="zh-CN"/>
        </w:rPr>
        <w:t>se sold at the Auction.</w:t>
      </w:r>
    </w:p>
    <w:p w:rsidR="00471520" w:rsidRDefault="00B97C05">
      <w:pPr>
        <w:pStyle w:val="Pleading1L1"/>
        <w:spacing w:line="480" w:lineRule="auto"/>
        <w:ind w:firstLine="1440"/>
        <w:rPr>
          <w:lang w:eastAsia="zh-CN"/>
        </w:rPr>
      </w:pPr>
      <w:r>
        <w:rPr>
          <w:lang w:eastAsia="zh-CN"/>
        </w:rPr>
        <w:t xml:space="preserve">As </w:t>
      </w:r>
      <w:r>
        <w:t>evidenced</w:t>
      </w:r>
      <w:r>
        <w:rPr>
          <w:lang w:eastAsia="zh-CN"/>
        </w:rPr>
        <w:t xml:space="preserve"> by the affidavits of service [Docket No. ___] and publication [Docket No. ___] previously filed with the Court, and based on the representations of counsel at the Sale Hearing, (i) proper, timely, adequate and sufficien</w:t>
      </w:r>
      <w:r>
        <w:rPr>
          <w:lang w:eastAsia="zh-CN"/>
        </w:rPr>
        <w:t xml:space="preserve">t notice of the Motion, the Sale Hearing, the Sale Transaction, the Assumption and Assignment Procedures and the assumption and assignment of the Assumed Contracts and the applicable Cure Amounts has been </w:t>
      </w:r>
      <w:r>
        <w:rPr>
          <w:lang w:eastAsia="zh-CN"/>
        </w:rPr>
        <w:lastRenderedPageBreak/>
        <w:t xml:space="preserve">provided in compliance with the Bidding Procedures </w:t>
      </w:r>
      <w:r>
        <w:rPr>
          <w:lang w:eastAsia="zh-CN"/>
        </w:rPr>
        <w:t xml:space="preserve">Order and in accordance with Bankruptcy Code sections 102(1), 363, and 365, and Bankruptcy Rules </w:t>
      </w:r>
      <w:r>
        <w:t>2002, 4001, 6004, 6006, 9006, 9007 and 9014</w:t>
      </w:r>
      <w:r>
        <w:rPr>
          <w:lang w:eastAsia="zh-CN"/>
        </w:rPr>
        <w:t>, (ii) such notice was good and sufficient, and appropriate under the particular circumstances, and (iii) no other o</w:t>
      </w:r>
      <w:r>
        <w:rPr>
          <w:lang w:eastAsia="zh-CN"/>
        </w:rPr>
        <w:t xml:space="preserve">r further notice of the Motion, the Sale Hearing, the Sale Transaction, the assumption and assignment of the Assumed Contracts or the Cure Amounts is or shall be </w:t>
      </w:r>
      <w:r>
        <w:t>required</w:t>
      </w:r>
      <w:r>
        <w:rPr>
          <w:lang w:eastAsia="zh-CN"/>
        </w:rPr>
        <w:t>.  With respect to entities whose identities were not reasonably ascertained by the De</w:t>
      </w:r>
      <w:r>
        <w:rPr>
          <w:lang w:eastAsia="zh-CN"/>
        </w:rPr>
        <w:t xml:space="preserve">btors, publication of the Sale Notice was made in </w:t>
      </w:r>
      <w:r>
        <w:rPr>
          <w:i/>
          <w:kern w:val="28"/>
        </w:rPr>
        <w:t>The</w:t>
      </w:r>
      <w:r>
        <w:rPr>
          <w:kern w:val="28"/>
        </w:rPr>
        <w:t xml:space="preserve"> </w:t>
      </w:r>
      <w:r>
        <w:rPr>
          <w:i/>
          <w:kern w:val="28"/>
        </w:rPr>
        <w:t>Wall Street Journal</w:t>
      </w:r>
      <w:r>
        <w:rPr>
          <w:kern w:val="28"/>
        </w:rPr>
        <w:t>, National Edition</w:t>
      </w:r>
      <w:r>
        <w:rPr>
          <w:lang w:eastAsia="zh-CN"/>
        </w:rPr>
        <w:t xml:space="preserve"> and </w:t>
      </w:r>
      <w:r>
        <w:rPr>
          <w:i/>
          <w:lang w:eastAsia="zh-CN"/>
        </w:rPr>
        <w:t>The</w:t>
      </w:r>
      <w:r>
        <w:rPr>
          <w:lang w:eastAsia="zh-CN"/>
        </w:rPr>
        <w:t xml:space="preserve"> </w:t>
      </w:r>
      <w:r>
        <w:rPr>
          <w:i/>
          <w:lang w:eastAsia="zh-CN"/>
        </w:rPr>
        <w:t>Tuscaloosa News</w:t>
      </w:r>
      <w:r>
        <w:rPr>
          <w:lang w:eastAsia="zh-CN"/>
        </w:rPr>
        <w:t xml:space="preserve"> on December 1, 2015, </w:t>
      </w:r>
      <w:r>
        <w:rPr>
          <w:i/>
          <w:lang w:eastAsia="zh-CN"/>
        </w:rPr>
        <w:t>The</w:t>
      </w:r>
      <w:r>
        <w:rPr>
          <w:lang w:eastAsia="zh-CN"/>
        </w:rPr>
        <w:t xml:space="preserve"> </w:t>
      </w:r>
      <w:r>
        <w:rPr>
          <w:i/>
          <w:lang w:eastAsia="zh-CN"/>
        </w:rPr>
        <w:t xml:space="preserve">Birmingham News </w:t>
      </w:r>
      <w:r>
        <w:rPr>
          <w:lang w:eastAsia="zh-CN"/>
        </w:rPr>
        <w:t xml:space="preserve">on December 2, 2015, and again in </w:t>
      </w:r>
      <w:r>
        <w:rPr>
          <w:i/>
          <w:lang w:eastAsia="zh-CN"/>
        </w:rPr>
        <w:t>The</w:t>
      </w:r>
      <w:r>
        <w:rPr>
          <w:lang w:eastAsia="zh-CN"/>
        </w:rPr>
        <w:t xml:space="preserve"> </w:t>
      </w:r>
      <w:r>
        <w:rPr>
          <w:i/>
          <w:lang w:eastAsia="zh-CN"/>
        </w:rPr>
        <w:t>Wall Street Journal</w:t>
      </w:r>
      <w:r>
        <w:rPr>
          <w:lang w:eastAsia="zh-CN"/>
        </w:rPr>
        <w:t xml:space="preserve">, National Edition, </w:t>
      </w:r>
      <w:r>
        <w:rPr>
          <w:i/>
          <w:lang w:eastAsia="zh-CN"/>
        </w:rPr>
        <w:t>The</w:t>
      </w:r>
      <w:r>
        <w:rPr>
          <w:lang w:eastAsia="zh-CN"/>
        </w:rPr>
        <w:t xml:space="preserve"> </w:t>
      </w:r>
      <w:r>
        <w:rPr>
          <w:i/>
          <w:lang w:eastAsia="zh-CN"/>
        </w:rPr>
        <w:t>Tuscaloosa News</w:t>
      </w:r>
      <w:r>
        <w:rPr>
          <w:lang w:eastAsia="zh-CN"/>
        </w:rPr>
        <w:t xml:space="preserve"> an</w:t>
      </w:r>
      <w:r>
        <w:rPr>
          <w:lang w:eastAsia="zh-CN"/>
        </w:rPr>
        <w:t xml:space="preserve">d </w:t>
      </w:r>
      <w:r>
        <w:rPr>
          <w:i/>
          <w:lang w:eastAsia="zh-CN"/>
        </w:rPr>
        <w:t>The</w:t>
      </w:r>
      <w:r>
        <w:rPr>
          <w:lang w:eastAsia="zh-CN"/>
        </w:rPr>
        <w:t xml:space="preserve"> </w:t>
      </w:r>
      <w:r>
        <w:rPr>
          <w:i/>
          <w:lang w:eastAsia="zh-CN"/>
        </w:rPr>
        <w:t>Birmingham News</w:t>
      </w:r>
      <w:r>
        <w:rPr>
          <w:lang w:eastAsia="zh-CN"/>
        </w:rPr>
        <w:t xml:space="preserve">, as well as the </w:t>
      </w:r>
      <w:r>
        <w:rPr>
          <w:i/>
          <w:lang w:eastAsia="zh-CN"/>
        </w:rPr>
        <w:t>USA Today</w:t>
      </w:r>
      <w:r>
        <w:rPr>
          <w:lang w:eastAsia="zh-CN"/>
        </w:rPr>
        <w:t xml:space="preserve">, National Edition and the </w:t>
      </w:r>
      <w:r>
        <w:rPr>
          <w:i/>
          <w:lang w:eastAsia="zh-CN"/>
        </w:rPr>
        <w:t>Charleston Gazette</w:t>
      </w:r>
      <w:r>
        <w:rPr>
          <w:lang w:eastAsia="zh-CN"/>
        </w:rPr>
        <w:t xml:space="preserve"> </w:t>
      </w:r>
      <w:r>
        <w:rPr>
          <w:i/>
          <w:lang w:eastAsia="zh-CN"/>
        </w:rPr>
        <w:t>and</w:t>
      </w:r>
      <w:r>
        <w:rPr>
          <w:lang w:eastAsia="zh-CN"/>
        </w:rPr>
        <w:t xml:space="preserve"> </w:t>
      </w:r>
      <w:r>
        <w:rPr>
          <w:i/>
          <w:lang w:eastAsia="zh-CN"/>
        </w:rPr>
        <w:t>Daily News</w:t>
      </w:r>
      <w:r>
        <w:rPr>
          <w:lang w:eastAsia="zh-CN"/>
        </w:rPr>
        <w:t>, on or about December 9, 2015.  Such notice was sufficient and reasonably calculated under the circumstances to reach all known and unknown entities</w:t>
      </w:r>
      <w:r>
        <w:rPr>
          <w:lang w:eastAsia="zh-CN"/>
        </w:rPr>
        <w:t>.</w:t>
      </w:r>
    </w:p>
    <w:p w:rsidR="00471520" w:rsidRDefault="00B97C05">
      <w:pPr>
        <w:pStyle w:val="Pleading1L1"/>
        <w:tabs>
          <w:tab w:val="clear" w:pos="1440"/>
        </w:tabs>
        <w:spacing w:line="480" w:lineRule="auto"/>
        <w:ind w:firstLine="1440"/>
      </w:pPr>
      <w:r>
        <w:t>The Acquired Assets sought to be transferred and/or assigned, as applicable, by the Debtors to the Stalking Horse Purchaser pursuant to the Stalking Horse Agreement are property of the Debtors’ estates and title thereto is vested in the Debtors’ estates.</w:t>
      </w:r>
    </w:p>
    <w:p w:rsidR="00471520" w:rsidRDefault="00B97C05">
      <w:pPr>
        <w:pStyle w:val="Pleading1L1"/>
        <w:tabs>
          <w:tab w:val="clear" w:pos="1440"/>
        </w:tabs>
        <w:spacing w:line="480" w:lineRule="auto"/>
        <w:ind w:firstLine="1440"/>
      </w:pPr>
      <w:r>
        <w:t xml:space="preserve">The Debtors and their professionals marketed the Acquired Assets and conducted the marketing and sale process in compliance with the Bidding Procedures and the Bidding Procedures Order.  Based upon the record of these proceedings, creditors and other </w:t>
      </w:r>
      <w:r>
        <w:t>parties in interest and prospective purchasers were afforded a reasonable and fair opportunity to bid for the Acquired Assets.</w:t>
      </w:r>
    </w:p>
    <w:p w:rsidR="00471520" w:rsidRDefault="00B97C05">
      <w:pPr>
        <w:pStyle w:val="Pleading1L1"/>
        <w:tabs>
          <w:tab w:val="clear" w:pos="1440"/>
        </w:tabs>
        <w:spacing w:line="480" w:lineRule="auto"/>
        <w:ind w:firstLine="1440"/>
      </w:pPr>
      <w:r>
        <w:t>On November 5, 2015, the Debtors entered into the Stalking Horse Agreement subject to higher and better offers.  In accordance wi</w:t>
      </w:r>
      <w:r>
        <w:t xml:space="preserve">th the Bidding Procedures Order, </w:t>
      </w:r>
      <w:r>
        <w:lastRenderedPageBreak/>
        <w:t>the Stalking Horse Agreement was deemed a Qualified Bid and the Stalking Horse Purchaser was eligible to participate in the Auction as a Qualified Bidder.</w:t>
      </w:r>
    </w:p>
    <w:p w:rsidR="00471520" w:rsidRDefault="00B97C05">
      <w:pPr>
        <w:pStyle w:val="Pleading1L1"/>
        <w:tabs>
          <w:tab w:val="clear" w:pos="1440"/>
        </w:tabs>
        <w:spacing w:line="480" w:lineRule="auto"/>
        <w:ind w:firstLine="1440"/>
      </w:pPr>
      <w:r>
        <w:t>The Bidding Procedures were substantively and procedurally fair to a</w:t>
      </w:r>
      <w:r>
        <w:t>ll parties and all potential bidders and afforded notice and a full, fair and reasonable opportunity for any person to make a higher or otherwise better offer to purchase the Acquired Assets.  The Debtors conducted the sale process [(including the Auction)</w:t>
      </w:r>
      <w:r>
        <w:t>] without collusion and in accordance with the Bidding Procedures.</w:t>
      </w:r>
    </w:p>
    <w:p w:rsidR="00471520" w:rsidRDefault="00B97C05">
      <w:pPr>
        <w:pStyle w:val="Pleading1L1"/>
        <w:spacing w:line="480" w:lineRule="auto"/>
        <w:ind w:firstLine="1440"/>
      </w:pPr>
      <w:r>
        <w:t>[An Auction for the Acquired Assets was held on January 5, 2016 at the offices of Bradley Arant Boult Cummings LLP, co-counsel to the Debtors, at One Federal Place, 1819 Fifth Avenue North,</w:t>
      </w:r>
      <w:r>
        <w:t xml:space="preserve"> Birmingham, Alabama 35203.]  The Debtors and their professionals conducted [the Auction and] the sale process in compliance with the Bidding Procedures Order, and afforded potential purchasers a full, fair and reasonable opportunity for any person or enti</w:t>
      </w:r>
      <w:r>
        <w:t>ty to make a higher or otherwise better offer for the Acquired Assets than that reflected in the Stalking Horse Agreement.</w:t>
      </w:r>
    </w:p>
    <w:p w:rsidR="00471520" w:rsidRDefault="00B97C05">
      <w:pPr>
        <w:pStyle w:val="Pleading1L1"/>
        <w:spacing w:line="480" w:lineRule="auto"/>
        <w:ind w:firstLine="1440"/>
      </w:pPr>
      <w:r>
        <w:t>[After the conclusion of the Auction,] the Debtors determined in a valid and sound exercise of their business judgment that the highe</w:t>
      </w:r>
      <w:r>
        <w:t>st or otherwise best Qualified Bid for the Acquired Assets was that of the Stalking Horse Purchaser.  The Stalking Horse Purchaser is owned by the First Lien Creditors.  The First Lien Creditors hold allowed secured claims, as of the Petition Date, approxi</w:t>
      </w:r>
      <w:r>
        <w:t>mately as follows: term loans in the aggregate principal amount of $978,178,601.35, outstanding letters of credit under the Credit Agreement in the aggregate face amount of US$50,688,432.80 and C$22,570,494.00 and first lien notes in the aggregate outstand</w:t>
      </w:r>
      <w:r>
        <w:t>ing principal amount of $970,000,000, in each case, plus interest, fees, costs and expenses (collectively, the “</w:t>
      </w:r>
      <w:r>
        <w:rPr>
          <w:b/>
          <w:u w:val="single"/>
        </w:rPr>
        <w:t>First Lien Obligations</w:t>
      </w:r>
      <w:r>
        <w:t xml:space="preserve">”). Pursuant to the Bidding Procedures, </w:t>
      </w:r>
      <w:r>
        <w:lastRenderedPageBreak/>
        <w:t>applicable law, including Bankruptcy Code section 363(k), and in accordance with t</w:t>
      </w:r>
      <w:r>
        <w:t>he Cash Collateral Orders, the Stalking Horse Purchaser (on behalf of the First Lien Creditors) was authorized to credit bid any or all of such First Lien Obligations as well as the First Lien Adequate Protection Obligations.</w:t>
      </w:r>
      <w:r>
        <w:rPr>
          <w:vertAlign w:val="superscript"/>
        </w:rPr>
        <w:footnoteReference w:id="4"/>
      </w:r>
      <w:r>
        <w:t xml:space="preserve">  Pursuant to the Stalking Hor</w:t>
      </w:r>
      <w:r>
        <w:t>se Agreement, the Stalking Horse Purchaser credit bid (the “</w:t>
      </w:r>
      <w:r>
        <w:rPr>
          <w:b/>
          <w:u w:val="single"/>
        </w:rPr>
        <w:t>Credit Bid and Release</w:t>
      </w:r>
      <w:r>
        <w:t>”) an amount of First Lien Obligations and First Lien Adequate Protection Obligations in the initial amount of [$1,250,000,000] in the aggregate, subject to adjustment pursua</w:t>
      </w:r>
      <w:r>
        <w:t>nt to Section 7.8 of the Stalking Horse Agreement, including the reduction thereof by $100,000,000 as a result of the Walter Coke Election being made, and cash (the “</w:t>
      </w:r>
      <w:r>
        <w:rPr>
          <w:b/>
          <w:u w:val="single"/>
        </w:rPr>
        <w:t>Cash Consideration</w:t>
      </w:r>
      <w:r>
        <w:t>”) in an amount equal to $5,400,000.  The Credit Bid and Release was a v</w:t>
      </w:r>
      <w:r>
        <w:t>alid and proper offer pursuant to the Bidding Procedures Order and Bankruptcy Code sections 363(b) and 363(k).</w:t>
      </w:r>
    </w:p>
    <w:p w:rsidR="00471520" w:rsidRDefault="00B97C05">
      <w:pPr>
        <w:pStyle w:val="Pleading1L1"/>
        <w:tabs>
          <w:tab w:val="clear" w:pos="1440"/>
        </w:tabs>
        <w:spacing w:line="480" w:lineRule="auto"/>
        <w:ind w:firstLine="1440"/>
      </w:pPr>
      <w:r>
        <w:t>Subject to the entry of this Order, the Debtors:  (i) have full power and authority to execute the Stalking Horse Agreement and all other documen</w:t>
      </w:r>
      <w:r>
        <w:t>ts contemplated thereby; (ii) have all of the power and authority necessary to consummate the transactions contemplated by the Stalking Horse Agreement; and (iii) have taken all corporate action necessary to authorize and approve the Stalking Horse Agreeme</w:t>
      </w:r>
      <w:r>
        <w:t>nt and the Sale of the Acquired Assets, and all other actions required to be performed by the Debtors in order to consummate the transactions contemplated in the Stalking Horse Agreement.  No consents or approvals, other than those expressly provided for i</w:t>
      </w:r>
      <w:r>
        <w:t>n the Stalking Horse Agreement or this Order, are required for the Debtors to consummate the Sale of the Acquired Assets.</w:t>
      </w:r>
    </w:p>
    <w:p w:rsidR="00471520" w:rsidRDefault="00B97C05">
      <w:pPr>
        <w:pStyle w:val="Pleading1L1"/>
        <w:tabs>
          <w:tab w:val="clear" w:pos="1440"/>
        </w:tabs>
        <w:spacing w:line="480" w:lineRule="auto"/>
        <w:ind w:firstLine="1440"/>
      </w:pPr>
      <w:r>
        <w:t xml:space="preserve">The Stalking Horse Agreement was negotiated and is undertaken by the Debtors and the Stalking Horse Purchaser at arm’s length without </w:t>
      </w:r>
      <w:r>
        <w:t xml:space="preserve">collusion or fraud, and in good </w:t>
      </w:r>
      <w:r>
        <w:lastRenderedPageBreak/>
        <w:t>faith within the meaning of Bankruptcy Code section 363(m).  The Stalking Horse Purchaser is not an “insider” of any of the Debtors as that term is defined by Bankruptcy Code section 101(31).  The Stalking Horse Purchaser re</w:t>
      </w:r>
      <w:r>
        <w:t>cognized that the Debtors were free to deal with any other party interested in acquiring the Acquired Assets, complied with the Bidding Procedures Order, and agreed to subject its bid to the competitive Bidding Procedures approved in the Bidding Procedures</w:t>
      </w:r>
      <w:r>
        <w:t xml:space="preserve"> Order.  All releases and payments to be made by the Stalking Horse Purchaser and other agreements or arrangements entered into by the Stalking Horse Purchaser in connection with the Sale have been disclosed.  The Stalking Horse Purchaser has not violated </w:t>
      </w:r>
      <w:r>
        <w:t>Bankruptcy Code section 363(n) by any action or inaction, and no common identity of directors or controlling stockholders exists between the Stalking Horse Purchaser and the Debtors.  As a result of the foregoing, the Stalking Horse Purchaser is entitled t</w:t>
      </w:r>
      <w:r>
        <w:t>o the protections of Bankruptcy Code section 363(m), including in the event this Order or any portion thereof is reversed or modified on appeal, and otherwise has proceeded in good faith in all respects in connection with the proceeding.</w:t>
      </w:r>
    </w:p>
    <w:p w:rsidR="00471520" w:rsidRDefault="00B97C05">
      <w:pPr>
        <w:pStyle w:val="Pleading1L1"/>
        <w:tabs>
          <w:tab w:val="clear" w:pos="1440"/>
        </w:tabs>
        <w:spacing w:line="480" w:lineRule="auto"/>
        <w:ind w:firstLine="1440"/>
      </w:pPr>
      <w:r>
        <w:t>The total consider</w:t>
      </w:r>
      <w:r>
        <w:t>ation provided by the Stalking Horse Purchaser for the Acquired Assets is the highest or otherwise best offer received by the Debtors, and the Purchase Price constitutes reasonably equivalent value and fair consideration under the Bankruptcy Code, the Unif</w:t>
      </w:r>
      <w:r>
        <w:t>orm Fraudulent Transfer Act, the Uniform Fraudulent Conveyance Act and any other applicable laws, and may not be avoided under Bankruptcy Code section 363(n) or under any other law of the United States, any state, territory, possession thereof, or the Dist</w:t>
      </w:r>
      <w:r>
        <w:t xml:space="preserve">rict of Columbia, or any other applicable law.  No other person or entity or group of persons or entities has offered to purchase the Acquired Assets for an amount that would provide greater economic value to the Debtors than the Stalking Horse Purchaser. </w:t>
      </w:r>
      <w:r>
        <w:t xml:space="preserve"> The Debtors’ determination that the </w:t>
      </w:r>
      <w:r>
        <w:lastRenderedPageBreak/>
        <w:t>Stalking Horse Agreement constitutes the highest or otherwise best offer for the Acquired Assets constitutes a valid and sound exercise of the Debtors’ business judgment.  The Court’s approval of the Motion, the Sale of</w:t>
      </w:r>
      <w:r>
        <w:t xml:space="preserve"> the Acquired Assets, the Sale Transaction and the Stalking Horse Agreement is in the best interests of the Debtors, their estates and creditors and all other parties in interest.</w:t>
      </w:r>
    </w:p>
    <w:p w:rsidR="00471520" w:rsidRDefault="00B97C05">
      <w:pPr>
        <w:pStyle w:val="Pleading1L1"/>
        <w:tabs>
          <w:tab w:val="clear" w:pos="1440"/>
        </w:tabs>
        <w:spacing w:line="480" w:lineRule="auto"/>
        <w:ind w:firstLine="1440"/>
      </w:pPr>
      <w:r>
        <w:t xml:space="preserve">The Stalking Horse Purchaser would not have entered into the Stalking Horse </w:t>
      </w:r>
      <w:r>
        <w:t xml:space="preserve">Agreement and would not consummate the Sale Transaction if the sale of the Acquired Assets to the Stalking Horse Purchaser were not free and clear of all claims, liens, interests and encumbrances (other than Permitted Encumbrances and Assumed Liabilities) </w:t>
      </w:r>
      <w:r>
        <w:t>pursuant to Bankruptcy Code section 363(f) or if the Stalking Horse Purchaser would, or in the future could, be liable for any of such claims, liens, interests and encumbrances.  Unless expressly included in the Assumed Liabilities and Permitted Encumbranc</w:t>
      </w:r>
      <w:r>
        <w:t>es, the Stalking Horse Purchaser shall not be responsible for any claims, liens, interests and encumbrances, including in respect of the following:  (i) any labor or employment agreements; (ii) any mortgages, deeds of trust and security interests; (iii) an</w:t>
      </w:r>
      <w:r>
        <w:t xml:space="preserve">y intercompany loans and receivables between one or more of the Sellers and any Debtor; (iv) any pension, multiemployer plan (as such term is defined in Section 3(37) or Section 4001(a)(3) of the Employee Retirement Income Security Act of 1974, as amended </w:t>
      </w:r>
      <w:r>
        <w:t>(“</w:t>
      </w:r>
      <w:r>
        <w:rPr>
          <w:u w:val="single"/>
        </w:rPr>
        <w:t>ERISA</w:t>
      </w:r>
      <w:r>
        <w:t>”)), health or welfare, compensation or other employee benefit plans, agreements, practices and programs, including, without limitation, any pension plan of any of the Debtors or any multiemployer plan to which the Debtors have at any time contributed to o</w:t>
      </w:r>
      <w:r>
        <w:t>r had any liability or potential liability; (v) any other employee, worker’s compensation, occupational disease or unemployment or temporary disability related claim, including, without limitation, claims that might otherwise arise under or pursuant to (a)</w:t>
      </w:r>
      <w:r>
        <w:t xml:space="preserve"> ERISA, (b) the Fair Labor Standards </w:t>
      </w:r>
      <w:r>
        <w:lastRenderedPageBreak/>
        <w:t>Act, (c) Title VII of the Civil Rights Act of 1964, (d) the Federal Rehabilitation Act of 1973, (e) the National Labor Relations Act, (f) the Age Discrimination and Employee Act of 1967 and Age Discrimination in Employm</w:t>
      </w:r>
      <w:r>
        <w:t xml:space="preserve">ent Act, as amended, (g) the Americans with Disabilities Act of 1990, (h) the Consolidated Omnibus Budget Reconciliation Act of 1985, as amended, including, without limitation, the requirements of Part 6 of Subtitle B of Title I of ERISA and Section 4980B </w:t>
      </w:r>
      <w:r>
        <w:t>of the Code and of any similar state law (collectively, “</w:t>
      </w:r>
      <w:r>
        <w:rPr>
          <w:u w:val="single"/>
        </w:rPr>
        <w:t>COBRA</w:t>
      </w:r>
      <w:r>
        <w:t>”), (i) state discrimination laws, (j) state unemployment compensation laws or any other similar state laws, (k) the Coal Industry Retiree Health Benefit Act of 1992, 26 U.S.C. §§9701, et seq. o</w:t>
      </w:r>
      <w:r>
        <w:t>r (l) any other state or federal benefits or claims relating to any employment with the Debtors or any of their predecessors; (vi) any liabilities arising under any Environmental Laws with respect to any assets owned or operated by any of the Debtors or an</w:t>
      </w:r>
      <w:r>
        <w:t>y corporate predecessor of any of the Debtors at any time prior to the Closing Date; (vii) any bulk sales or similar law; (viii) any tax statutes or ordinances, including, without limitation, the Internal Revenue Code of 1986, as amended; (ix) the Coal Act</w:t>
      </w:r>
      <w:r>
        <w:t xml:space="preserve"> and (x) any Excluded Liabilities. There is no better available alternative for the Acquired Assets than the Sale to the Stalking Horse Purchaser.  The Sale of the Acquired Assets contemplated by the Stalking Horse Agreement is in the best interests of the</w:t>
      </w:r>
      <w:r>
        <w:t xml:space="preserve"> Debtors, their estates and creditors, and all other parties in interest.</w:t>
      </w:r>
    </w:p>
    <w:p w:rsidR="00471520" w:rsidRDefault="00B97C05">
      <w:pPr>
        <w:pStyle w:val="Pleading1L1"/>
        <w:tabs>
          <w:tab w:val="clear" w:pos="1440"/>
        </w:tabs>
        <w:spacing w:line="480" w:lineRule="auto"/>
        <w:ind w:firstLine="1440"/>
      </w:pPr>
      <w:r>
        <w:t>The Debtors may sell the Acquired Assets free and clear of all claims, liens, interests and encumbrances (other than Assumed Liabilities and Permitted Encumbrances) because, with res</w:t>
      </w:r>
      <w:r>
        <w:t xml:space="preserve">pect to each creditor asserting a claim, lien, interest or encumbrance, one or more of the standards set forth in Bankruptcy Code section 363(f)(1)-(5) has been satisfied. Those holders of claims, liens, interests or encumbrances who did not object or who </w:t>
      </w:r>
      <w:r>
        <w:t xml:space="preserve">withdrew their objections to the Sale of the Acquired Assets or the Motion are deemed to have consented </w:t>
      </w:r>
      <w:r>
        <w:lastRenderedPageBreak/>
        <w:t>to the Motion and the Sale pursuant to Bankruptcy Code section 363(f)(2).  Those holders of claims, liens, interests or encumbrances who did object fall</w:t>
      </w:r>
      <w:r>
        <w:t xml:space="preserve"> within one or more of the other subsections of Bankruptcy Code section 363(f).  Notwithstanding the foregoing, the Acquired Assets are being sold subject to the Permitted Encumbrances and the Assumed Liabilities.</w:t>
      </w:r>
    </w:p>
    <w:p w:rsidR="00471520" w:rsidRDefault="00B97C05">
      <w:pPr>
        <w:pStyle w:val="Pleading1L1"/>
        <w:tabs>
          <w:tab w:val="clear" w:pos="1440"/>
        </w:tabs>
        <w:spacing w:line="480" w:lineRule="auto"/>
        <w:ind w:firstLine="1440"/>
      </w:pPr>
      <w:r>
        <w:t>Neither the Debtors nor the Stalking Horse</w:t>
      </w:r>
      <w:r>
        <w:t xml:space="preserve"> Purchaser engaged in any conduct that would cause or permit the Stalking Horse Agreement or the consummation of the Sale of the Acquired Assets to be avoided, or costs or damages to be imposed, under Bankruptcy Code section 363(n) or under any other law o</w:t>
      </w:r>
      <w:r>
        <w:t>f the United States, any state, territory, possession thereof, or the District of Columbia, or any other applicable law.</w:t>
      </w:r>
    </w:p>
    <w:p w:rsidR="00471520" w:rsidRDefault="00B97C05">
      <w:pPr>
        <w:pStyle w:val="Pleading1L1"/>
        <w:tabs>
          <w:tab w:val="clear" w:pos="1440"/>
        </w:tabs>
        <w:spacing w:line="480" w:lineRule="auto"/>
        <w:ind w:firstLine="1440"/>
      </w:pPr>
      <w:r>
        <w:t xml:space="preserve">The Stalking Horse Agreement, which constitutes reasonably equivalent value and fair consideration, was not entered into, and the Sale </w:t>
      </w:r>
      <w:r>
        <w:t>of the Acquired Assets is not consummated, for the purpose of hindering, delaying or defrauding creditors of the Debtors under the Bankruptcy Code or under any other law of the United States, any state, territory, possession thereof, or the District of Col</w:t>
      </w:r>
      <w:r>
        <w:t>umbia, or any other applicable law.  Neither the Debtors nor the Stalking Horse Purchaser has entered into the Stalking Horse Agreement or is consummating the Sale of the Acquired Assets with any fraudulent or otherwise improper purpose.</w:t>
      </w:r>
    </w:p>
    <w:p w:rsidR="00471520" w:rsidRDefault="00B97C05">
      <w:pPr>
        <w:pStyle w:val="Pleading1L1"/>
        <w:spacing w:line="480" w:lineRule="auto"/>
        <w:ind w:firstLine="1440"/>
      </w:pPr>
      <w:r>
        <w:t xml:space="preserve">Upon the Closing, </w:t>
      </w:r>
      <w:r>
        <w:t>except as included in the Assumed Liabilities, the Stalking Horse Purchaser shall not, and shall not be deemed to,:  (i) be the successor of or successor employer (as described under COBRA and applicable regulations thereunder) to the Sellers, including wi</w:t>
      </w:r>
      <w:r>
        <w:t>thout limitation, with respect to any Collective Bargaining Agreements and any Benefit Plans, except for Buyer Benefit Plans, under the Coal Act, and any common law successorship liability in relation to the UMWA 1974 Pension Plan, including with respect t</w:t>
      </w:r>
      <w:r>
        <w:t xml:space="preserve">o </w:t>
      </w:r>
      <w:r>
        <w:lastRenderedPageBreak/>
        <w:t xml:space="preserve">withdrawal liability, (ii) be the successor of or successor employer to the Sellers, and shall instead be, and be deemed to be, a new employer with respect to any and all federal or state unemployment laws, including any unemployment compensation or tax </w:t>
      </w:r>
      <w:r>
        <w:t xml:space="preserve">laws, or any other similar federal or state laws, (iii) have, </w:t>
      </w:r>
      <w:r>
        <w:rPr>
          <w:i/>
        </w:rPr>
        <w:t>de facto</w:t>
      </w:r>
      <w:r>
        <w:t xml:space="preserve">, or otherwise, merged or consolidated with or into Sellers, (iv) be a mere continuation or substantial continuation of Sellers or the enterprise(s) of Sellers, or (v) be liable for any </w:t>
      </w:r>
      <w:r>
        <w:t>acts or omissions of Sellers in the conduct of the Business or arising under or related to the Acquired Assets other than as set forth in the Stalking Horse Agreement. Without limiting the generality of the foregoing, and except as otherwise provided in th</w:t>
      </w:r>
      <w:r>
        <w:t xml:space="preserve">e Stalking Horse Agreement, the parties intend that the Stalking Horse Purchaser shall not be liable for any Encumbrance or Liability (other than Assumed Liabilities and Permitted Encumbrances) against any Seller, or any of its predecessors or Affiliates, </w:t>
      </w:r>
      <w:r>
        <w:t>and the Stalking Horse Purchaser shall have no successor or vicarious liability of any kind or character whatsoever, whether known or unknown as of the Closing Date, whether now existing or hereafter arising, whether asserted or unasserted, or whether fixe</w:t>
      </w:r>
      <w:r>
        <w:t>d or contingent, with respect to the Business, the Acquired Assets or any Liabilities of any Seller arising prior to the Closing Date.  The Stalking Horse Purchaser would not have acquired the Acquired Assets but for the foregoing protections against poten</w:t>
      </w:r>
      <w:r>
        <w:t>tial claims based upon “successor liability” theories.</w:t>
      </w:r>
    </w:p>
    <w:p w:rsidR="00471520" w:rsidRDefault="00B97C05">
      <w:pPr>
        <w:pStyle w:val="Pleading1L1"/>
        <w:tabs>
          <w:tab w:val="clear" w:pos="1440"/>
        </w:tabs>
        <w:spacing w:line="480" w:lineRule="auto"/>
        <w:ind w:firstLine="1440"/>
        <w:rPr>
          <w:u w:val="single"/>
        </w:rPr>
      </w:pPr>
      <w:r>
        <w:rPr>
          <w:rStyle w:val="CharacterStyle5"/>
        </w:rPr>
        <w:t xml:space="preserve">Entry into the Stalking Horse Agreement and the Sale Transaction </w:t>
      </w:r>
      <w:r>
        <w:t>constitutes the exercise by the Debtors of sound business judgment, and such acts are in the best interests of the Debtors, their estate</w:t>
      </w:r>
      <w:r>
        <w:t>s and creditors, and all parties in interest.  The Debtors have articulated good and sufficient business reasons justifying the Sale of the Acquired Assets to the Stalking Horse Purchaser.  Additionally:  (i) the Stalking Horse Agreement constitutes the hi</w:t>
      </w:r>
      <w:r>
        <w:t xml:space="preserve">ghest or otherwise best offer for the Acquired Assets; (ii) the Stalking Horse Agreement and </w:t>
      </w:r>
      <w:r>
        <w:lastRenderedPageBreak/>
        <w:t xml:space="preserve">the closing of the Sale Transaction will present the best opportunity to realize the value of the Acquired Assets and avoid further decline and devaluation of the </w:t>
      </w:r>
      <w:r>
        <w:t>Acquired Assets; (iii) there is risk of deterioration of the value of the Acquired Assets if the Sale Transaction is not consummated promptly; and (iv) the Stalking Horse Agreement and the Sale of the Acquired Assets to the Stalking Horse Purchaser will pr</w:t>
      </w:r>
      <w:r>
        <w:t>ovide greater value to the Debtors’ estates than would be provided by any other presently available alternative.</w:t>
      </w:r>
    </w:p>
    <w:p w:rsidR="00471520" w:rsidRDefault="00B97C05">
      <w:pPr>
        <w:pStyle w:val="Pleading1L1"/>
        <w:tabs>
          <w:tab w:val="clear" w:pos="1440"/>
        </w:tabs>
        <w:spacing w:line="480" w:lineRule="auto"/>
        <w:ind w:firstLine="1440"/>
        <w:rPr>
          <w:u w:val="single"/>
        </w:rPr>
      </w:pPr>
      <w:r>
        <w:t>Good and sufficient reasons for approval of the Stalking Horse Agreement and the Sale Transaction have been articulated by the Debtors.  The De</w:t>
      </w:r>
      <w:r>
        <w:t>btors have demonstrated compelling circumstances and a good, sufficient and sound business purpose for the Sale Transaction outside:  (a) the ordinary course of business, pursuant to Bankruptcy Code section 363(b); and (b) a plan of reorganization, in that</w:t>
      </w:r>
      <w:r>
        <w:t>, among other things, the immediate consummation of the Sale Transaction is necessary and appropriate to maximize the value of the Debtors’ estates.  To maximize the value of the Acquired Assets and preserve the viability of the operations to which the Acq</w:t>
      </w:r>
      <w:r>
        <w:t>uired Assets relate, it is essential that the Sale occur within the time constraints set forth in the Stalking Horse Agreement.  Time is of the essence in consummating the Sale Transaction.</w:t>
      </w:r>
    </w:p>
    <w:p w:rsidR="00471520" w:rsidRDefault="00B97C05">
      <w:pPr>
        <w:pStyle w:val="Pleading1L1"/>
        <w:tabs>
          <w:tab w:val="clear" w:pos="1440"/>
        </w:tabs>
        <w:spacing w:line="480" w:lineRule="auto"/>
        <w:ind w:firstLine="1440"/>
      </w:pPr>
      <w:r>
        <w:t>The Debtors have demonstrated that it is an exercise of their soun</w:t>
      </w:r>
      <w:r>
        <w:t>d business judgment to assume and assign the Assumed Contracts to the Stalking Horse Purchaser in connection with the consummation of the Sale Transaction, and the assumption and assignment of the Assumed Contracts to the Stalking Horse Purchaser is in the</w:t>
      </w:r>
      <w:r>
        <w:t xml:space="preserve"> best interests of the Debtors, their estates and creditors and all parties in interest.  The Assumed Contracts being assigned to the Stalking Horse Purchaser are an integral part of the Acquired Assets being purchased by the Stalking Horse Purchaser, and </w:t>
      </w:r>
      <w:r>
        <w:t xml:space="preserve">accordingly, such assumption and assignment of </w:t>
      </w:r>
      <w:r>
        <w:lastRenderedPageBreak/>
        <w:t xml:space="preserve">the Assumed Contracts is reasonable and enhances the value of the Debtors’ estates.  The cure amounts required to be paid pursuant to section Bankruptcy Code 365(b), whether agreed or judicially resolved (the </w:t>
      </w:r>
      <w:r>
        <w:t>“</w:t>
      </w:r>
      <w:r>
        <w:rPr>
          <w:b/>
          <w:u w:val="single"/>
        </w:rPr>
        <w:t>Cure Amounts</w:t>
      </w:r>
      <w:r>
        <w:t>”), are deemed to be the entire cure obligation due and owing under the Assumed Contracts under Bankruptcy Code section 365(b).  To the extent that any non-Debtor counterparty to an Assumed Contract failed to timely file an objection to the pr</w:t>
      </w:r>
      <w:r>
        <w:t xml:space="preserve">oposed Cure Amount filed with the Bankruptcy Court, the Cure Amount listed in the Cure Notice shall be deemed to be the entire cure obligation due and owing under the applicable Assumed Contract.  </w:t>
      </w:r>
    </w:p>
    <w:p w:rsidR="00471520" w:rsidRDefault="00B97C05">
      <w:pPr>
        <w:pStyle w:val="Pleading1L1"/>
        <w:tabs>
          <w:tab w:val="clear" w:pos="1440"/>
        </w:tabs>
        <w:spacing w:line="480" w:lineRule="auto"/>
        <w:ind w:firstLine="1440"/>
      </w:pPr>
      <w:r>
        <w:t>Each provision of the Assumed Contracts or applicable non-</w:t>
      </w:r>
      <w:r>
        <w:t>bankruptcy law that purports to prohibit, restrict or condition, or could be construed as prohibiting, restricting or conditioning, assignment of any Assumed Contracts has been satisfied or is otherwise unenforceable under Bankruptcy Code section 365.</w:t>
      </w:r>
    </w:p>
    <w:p w:rsidR="00471520" w:rsidRDefault="00B97C05">
      <w:pPr>
        <w:pStyle w:val="Pleading1L1"/>
        <w:tabs>
          <w:tab w:val="clear" w:pos="1440"/>
        </w:tabs>
        <w:spacing w:line="480" w:lineRule="auto"/>
        <w:ind w:firstLine="1440"/>
      </w:pPr>
      <w:r>
        <w:t>Upon</w:t>
      </w:r>
      <w:r>
        <w:t xml:space="preserve"> the payment of the Cure Amount to the relevant counterparty to an Assumed Contract, there will be no outstanding default under each such Assumed Contract.</w:t>
      </w:r>
    </w:p>
    <w:p w:rsidR="00471520" w:rsidRDefault="00B97C05">
      <w:pPr>
        <w:pStyle w:val="Pleading1L1"/>
        <w:tabs>
          <w:tab w:val="clear" w:pos="1440"/>
        </w:tabs>
        <w:spacing w:line="480" w:lineRule="auto"/>
        <w:ind w:firstLine="1440"/>
      </w:pPr>
      <w:r>
        <w:t>The Stalking Horse Purchaser has demonstrated adequate assurance of future performance of all Assume</w:t>
      </w:r>
      <w:r>
        <w:t>d Contracts within the meaning of Bankruptcy Code section 365.</w:t>
      </w:r>
    </w:p>
    <w:p w:rsidR="00471520" w:rsidRDefault="00B97C05">
      <w:pPr>
        <w:pStyle w:val="Pleading1L1"/>
        <w:tabs>
          <w:tab w:val="clear" w:pos="1440"/>
        </w:tabs>
        <w:spacing w:line="480" w:lineRule="auto"/>
        <w:ind w:firstLine="1440"/>
      </w:pPr>
      <w:r>
        <w:t>Upon the assignment to the Stalking Horse Purchaser and the payment of the relevant Cure Amounts, each Assumed Contract shall be deemed valid and binding and in full force and effect in accorda</w:t>
      </w:r>
      <w:r>
        <w:t>nce with its terms, and all defaults thereunder, if any, shall be deemed cured, subject to the provisions of this Order.</w:t>
      </w:r>
    </w:p>
    <w:p w:rsidR="00471520" w:rsidRDefault="00B97C05">
      <w:pPr>
        <w:pStyle w:val="Pleading1L1"/>
        <w:tabs>
          <w:tab w:val="clear" w:pos="1440"/>
        </w:tabs>
        <w:spacing w:line="480" w:lineRule="auto"/>
        <w:ind w:firstLine="1440"/>
      </w:pPr>
      <w:r>
        <w:t>An injunction against creditors and third parties pursuing claims against, and liens, interests and encumbrances on, the Acquired Asset</w:t>
      </w:r>
      <w:r>
        <w:t xml:space="preserve">s is necessary to induce the Stalking </w:t>
      </w:r>
      <w:r>
        <w:lastRenderedPageBreak/>
        <w:t>Horse Purchaser to close the Sale Transaction, and the issuance of such injunctive relief is therefore necessary to avoid irreparable injury to the Debtors’ estates and will benefit the Debtors’ creditors.</w:t>
      </w:r>
    </w:p>
    <w:p w:rsidR="00471520" w:rsidRDefault="00B97C05">
      <w:pPr>
        <w:pStyle w:val="Pleading1L1"/>
        <w:tabs>
          <w:tab w:val="clear" w:pos="1440"/>
        </w:tabs>
        <w:spacing w:line="480" w:lineRule="auto"/>
        <w:ind w:firstLine="1440"/>
      </w:pPr>
      <w:r>
        <w:t>[With respec</w:t>
      </w:r>
      <w:r>
        <w:t>t to any agreements entered into between the Stalking Horse Purchaser and the Debtors’ management or key employees regarding compensation or future employment, the Stalking Horse Purchaser has disclosed the material terms of such agreements.]</w:t>
      </w:r>
    </w:p>
    <w:p w:rsidR="00471520" w:rsidRDefault="00B97C05">
      <w:pPr>
        <w:pStyle w:val="Pleading1L1"/>
        <w:tabs>
          <w:tab w:val="clear" w:pos="1440"/>
        </w:tabs>
        <w:spacing w:line="480" w:lineRule="auto"/>
        <w:ind w:firstLine="1440"/>
      </w:pPr>
      <w:r>
        <w:t>The Sale Tran</w:t>
      </w:r>
      <w:r>
        <w:t xml:space="preserve">saction does not constitute a </w:t>
      </w:r>
      <w:r>
        <w:rPr>
          <w:i/>
          <w:iCs/>
        </w:rPr>
        <w:t>sub rosa</w:t>
      </w:r>
      <w:r>
        <w:t xml:space="preserve"> chapter 11 plan.  The Sale Transaction neither impermissibly restructures the rights of the Debtors’ creditors nor impermissibly dictates a liquidating plan of reorganization for any of the Debtors.</w:t>
      </w:r>
    </w:p>
    <w:p w:rsidR="00471520" w:rsidRDefault="00B97C05">
      <w:pPr>
        <w:pStyle w:val="Pleading1L1"/>
        <w:tabs>
          <w:tab w:val="clear" w:pos="1440"/>
        </w:tabs>
        <w:spacing w:line="480" w:lineRule="auto"/>
        <w:ind w:firstLine="1440"/>
      </w:pPr>
      <w:r>
        <w:t>This Order constit</w:t>
      </w:r>
      <w:r>
        <w:t>utes a final order within the meaning of 28 U.S.C. § 158(a).  Notwithstanding Bankruptcy Rules 6004(h) and 6006(d), the Court expressly finds that there is no just reason for delay in the implementation of this Order and expressly directs entry of judgment</w:t>
      </w:r>
      <w:r>
        <w:t xml:space="preserve"> as set forth herein.</w:t>
      </w:r>
    </w:p>
    <w:p w:rsidR="00471520" w:rsidRDefault="00B97C05">
      <w:pPr>
        <w:pStyle w:val="BodyText"/>
        <w:spacing w:line="480" w:lineRule="auto"/>
        <w:rPr>
          <w:b/>
        </w:rPr>
      </w:pPr>
      <w:r>
        <w:rPr>
          <w:b/>
        </w:rPr>
        <w:t>IT IS THEREFORE ORDERED, ADJUDGED AND DECREED THAT:</w:t>
      </w:r>
    </w:p>
    <w:p w:rsidR="00471520" w:rsidRDefault="00B97C05">
      <w:pPr>
        <w:pStyle w:val="Pleading1L2"/>
        <w:tabs>
          <w:tab w:val="clear" w:pos="1440"/>
        </w:tabs>
        <w:spacing w:line="480" w:lineRule="auto"/>
        <w:ind w:firstLine="1440"/>
      </w:pPr>
      <w:r>
        <w:rPr>
          <w:rFonts w:eastAsia="Calibri"/>
          <w:szCs w:val="24"/>
        </w:rPr>
        <w:t>The Motion is GRANTED, to the extent set forth herein</w:t>
      </w:r>
      <w:r>
        <w:t>.</w:t>
      </w:r>
    </w:p>
    <w:p w:rsidR="00471520" w:rsidRDefault="00B97C05">
      <w:pPr>
        <w:pStyle w:val="Pleading1L2"/>
        <w:tabs>
          <w:tab w:val="clear" w:pos="1440"/>
        </w:tabs>
        <w:spacing w:line="480" w:lineRule="auto"/>
        <w:ind w:firstLine="1440"/>
      </w:pPr>
      <w:r>
        <w:t xml:space="preserve">Any objection to </w:t>
      </w:r>
      <w:r>
        <w:rPr>
          <w:rFonts w:eastAsia="Calibri"/>
          <w:szCs w:val="24"/>
        </w:rPr>
        <w:t>the Motion</w:t>
      </w:r>
      <w:r>
        <w:t xml:space="preserve">, or any other relief granted in this Order, to the extent not resolved, waived or withdrawn or </w:t>
      </w:r>
      <w:r>
        <w:t>previously overruled, and all reservations of rights included therein, is hereby overruled and denied on the merits.</w:t>
      </w:r>
    </w:p>
    <w:p w:rsidR="00471520" w:rsidRDefault="00B97C05">
      <w:pPr>
        <w:pStyle w:val="Pleading1L2"/>
        <w:tabs>
          <w:tab w:val="clear" w:pos="1440"/>
        </w:tabs>
        <w:spacing w:line="480" w:lineRule="auto"/>
        <w:ind w:firstLine="1440"/>
      </w:pPr>
      <w:r>
        <w:t>Pursuant to Bankruptcy Code sections 105, 363, 364, 365 and 503 and the Stalking Horse Agreement, the Credit Bid and Release and the Sale T</w:t>
      </w:r>
      <w:r>
        <w:t>ransaction are hereby approved and the Debtors are authorized to enter into and perform under the Stalking Horse Agreement.  Pursuant to Bankruptcy Code sections 105, 363, 364, 365 and 503, each of the Debtors and the Stalking Horse Purchaser are hereby au</w:t>
      </w:r>
      <w:r>
        <w:t xml:space="preserve">thorized and directed to take any and all </w:t>
      </w:r>
      <w:r>
        <w:lastRenderedPageBreak/>
        <w:t>actions necessary or appropriate to:  (i) consummate the Sale Transaction and the closing of the sale in accordance with the Motion, the Stalking Horse Agreement and this Order; (ii) assume and assign the Assumed C</w:t>
      </w:r>
      <w:r>
        <w:t>ontracts; (iii) perform, consummate, implement and close fully the Stalking Horse Agreement together with all additional instruments and documents that may be reasonably necessary or desirable to implement the Stalking Horse Agreement; and (iv) establish a</w:t>
      </w:r>
      <w:r>
        <w:t xml:space="preserve">nd fund the Escrow and Trust Arrangements.  The Debtors and each other party to the Transaction Documents, including the Escrow and Trust Agreements, are hereby authorized and directed to perform each of their covenants and undertakings as provided in the </w:t>
      </w:r>
      <w:r>
        <w:t>Stalking Horse Agreement and the Transaction Documents, including the Escrow and Trust Agreements, prior to or after the Closing Date without further order of the Court.  The Stalking Horse Purchaser and the Debtors shall have no obligation to close the Sa</w:t>
      </w:r>
      <w:r>
        <w:t>le Transaction except as is contemplated and provided for in the Stalking Horse Agreement.</w:t>
      </w:r>
    </w:p>
    <w:p w:rsidR="00471520" w:rsidRDefault="00B97C05">
      <w:pPr>
        <w:pStyle w:val="Pleading1L2"/>
        <w:tabs>
          <w:tab w:val="clear" w:pos="1440"/>
        </w:tabs>
        <w:spacing w:line="480" w:lineRule="auto"/>
        <w:ind w:firstLine="1440"/>
      </w:pPr>
      <w:r>
        <w:t>Pursuant to Bankruptcy Code section 365(f), notwithstanding any provision of any Assumed Contract or applicable non-bankruptcy law that prohibits, restricts or condi</w:t>
      </w:r>
      <w:r>
        <w:t>tions the assignment of the Assumed Contracts, the Debtors are authorized to assume the Assumed Contracts and to assign the Assumed Contracts to the Stalking Horse Purchaser, which assignment shall take place on and be effective as of the Closing or as oth</w:t>
      </w:r>
      <w:r>
        <w:t>erwise provided by order of this Court.  There shall be no accelerations, assignment fees, increases or any other fees charged to the Stalking Horse Purchaser or the Debtors as a result of the assumption and assignment of the Assumed Contracts.</w:t>
      </w:r>
    </w:p>
    <w:p w:rsidR="00471520" w:rsidRDefault="00B97C05">
      <w:pPr>
        <w:pStyle w:val="Pleading1L2"/>
        <w:tabs>
          <w:tab w:val="clear" w:pos="1440"/>
        </w:tabs>
        <w:spacing w:line="480" w:lineRule="auto"/>
        <w:ind w:firstLine="1440"/>
      </w:pPr>
      <w:r>
        <w:t>The Debtors</w:t>
      </w:r>
      <w:r>
        <w:t xml:space="preserve">’ assumption of the Assumed Contracts is subject to the consummation of the Sale Transaction.  To the extent that an objection by a counterparty to any Assumed Contract, including all objections related to Cure Amounts, is not resolved prior to the </w:t>
      </w:r>
      <w:r>
        <w:lastRenderedPageBreak/>
        <w:t>Closing</w:t>
      </w:r>
      <w:r>
        <w:t xml:space="preserve"> Date, the Debtors, in consultation with the Stalking Horse Purchaser, may elect to:  (i) not assume such Assumed Contract; (ii) postpone the assumption of such Assumed Contract until the resolution of such objection; or (iii) reserve the disputed Cure Amo</w:t>
      </w:r>
      <w:r>
        <w:t>unt and assume the Assumed Contract on the Closing Date.  So long as the Debtors hold the claimed Cure Amount in reserve, and there are no other unresolved objections to the assumption and assignment of the applicable Assumed Contract, the Debtors can, wit</w:t>
      </w:r>
      <w:r>
        <w:t>hout further delay, assume and assign the Assumed Contract that is the subject of the objection.  Under such circumstances, the respective objecting counterparty’s recourse is limited to the funds held in reserve.</w:t>
      </w:r>
    </w:p>
    <w:p w:rsidR="00471520" w:rsidRDefault="00B97C05">
      <w:pPr>
        <w:pStyle w:val="Pleading1L2"/>
        <w:tabs>
          <w:tab w:val="clear" w:pos="1440"/>
        </w:tabs>
        <w:spacing w:line="480" w:lineRule="auto"/>
        <w:ind w:firstLine="1440"/>
      </w:pPr>
      <w:r>
        <w:t>Upon the Closing:  (a) the Debtors are her</w:t>
      </w:r>
      <w:r>
        <w:t>eby authorized and directed to consummate, and shall be deemed for all purposes to have consummated, the sale, transfer and assignment of all of the Debtors’ rights, title and interest in the Acquired Assets to the Stalking Horse Purchaser free and clear o</w:t>
      </w:r>
      <w:r>
        <w:t xml:space="preserve">f all Encumbrances and Liabilities, other than the Assumed Liabilities and the encumbrances identified on </w:t>
      </w:r>
      <w:r>
        <w:rPr>
          <w:u w:val="single"/>
        </w:rPr>
        <w:t>Schedule 1</w:t>
      </w:r>
      <w:r>
        <w:t xml:space="preserve"> hereto (the “</w:t>
      </w:r>
      <w:r>
        <w:rPr>
          <w:b/>
          <w:u w:val="single"/>
        </w:rPr>
        <w:t>Permitted Encumbrances</w:t>
      </w:r>
      <w:r>
        <w:t>”); and (b) except as otherwise expressly provided in the Stalking Horse Agreement, all Encumbrances and</w:t>
      </w:r>
      <w:r>
        <w:t xml:space="preserve"> Liabilities (other than the Assumed Liabilities and the Permitted Encumbrances) shall not be enforceable as against the Stalking Horse Purchaser or the Acquired Assets.  Unless otherwise expressly included in the Assumed Liabilities and Permitted Encumbra</w:t>
      </w:r>
      <w:r>
        <w:t xml:space="preserve">nces, the Stalking Horse Purchaser shall not be responsible for any claims, liens, interests and encumbrances, including in respect of the following:  (i) any labor or employment agreements; (ii) any mortgages, deeds of trust and security interests; (iii) </w:t>
      </w:r>
      <w:r>
        <w:t>any intercompany loans and receivables between one or more of the Sellers and any Debtor; (iv) any pension, multiemployer plan (as such term is defined in Section 3(37) or Section 4001(a)(3) of ERISA), health or welfare, compensation or other employee bene</w:t>
      </w:r>
      <w:r>
        <w:t xml:space="preserve">fit plans, agreements, practices and </w:t>
      </w:r>
      <w:r>
        <w:lastRenderedPageBreak/>
        <w:t>programs, including, without limitation, any pension plan of any of the Debtors or any multiemployer plan to which the Debtors have at any time contributed to or had any liability or potential liability; (v) any other e</w:t>
      </w:r>
      <w:r>
        <w:t xml:space="preserve">mployee, worker’s compensation, occupational disease or unemployment or temporary disability related claim, including, without limitation, claims that might otherwise arise under or pursuant to (a) ERISA, (b) the Fair Labor Standards Act, (c) Title VII of </w:t>
      </w:r>
      <w:r>
        <w:t>the Civil Rights Act of 1964, (d) the Federal Rehabilitation Act of 1973, (e) the National Labor Relations Act, (f) the Age Discrimination and Employee Act of 1967 and Age Discrimination in Employment Act, as amended, (g) the Americans with Disabilities Ac</w:t>
      </w:r>
      <w:r>
        <w:t>t of 1990, (h) COBRA, (i) state discrimination laws, (j) state unemployment compensation laws or any other similar state laws, (k)  the Coal Industry Retiree Health Benefit Act of 1992, 26 U.S.C. §§9701, et seq. or (l) any other state or federal benefits o</w:t>
      </w:r>
      <w:r>
        <w:t>r claims relating to any employment with the Debtors or any of their predecessors; (vi) liabilities arising under any Environmental Laws with respect to any assets owned or operated by any of the Debtors or any corporate predecessor of any of the Debtors a</w:t>
      </w:r>
      <w:r>
        <w:t>t any time prior to the Closing Date; (vii) any bulk sales or similar law; (viii) any tax statutes or ordinances, including, without limitation, the Internal Revenue Code of 1986, as amended; (ix) the Coal Act and (x) any Excluded Liabilities.  A certified</w:t>
      </w:r>
      <w:r>
        <w:t xml:space="preserve"> copy of this Order may be filed with the appropriate clerk and/or recorder to act to cancel any such lien, claim, interest or encumbrance of record.</w:t>
      </w:r>
    </w:p>
    <w:p w:rsidR="00471520" w:rsidRDefault="00B97C05">
      <w:pPr>
        <w:pStyle w:val="Pleading1L2"/>
        <w:tabs>
          <w:tab w:val="clear" w:pos="1440"/>
        </w:tabs>
        <w:spacing w:line="480" w:lineRule="auto"/>
        <w:ind w:firstLine="1440"/>
      </w:pPr>
      <w:r>
        <w:t>The transfer to the Stalking Horse Purchaser of the Debtors’ rights, title and interest in the Acquired As</w:t>
      </w:r>
      <w:r>
        <w:t>sets pursuant to the Stalking Horse Agreement shall be, and hereby is deemed to be, a legal, valid and effective transfer of the Debtors’ rights, title and interest in the Acquired Assets, and vests with or will vest in the Stalking Horse Purchaser all rig</w:t>
      </w:r>
      <w:r>
        <w:t xml:space="preserve">hts, title and interest of the Debtors in the Acquired Assets, free and clear of all claims, liens, </w:t>
      </w:r>
      <w:r>
        <w:lastRenderedPageBreak/>
        <w:t>interests and encumbrances of any kind or nature whatsoever (other than the Permitted Encumbrances and the Assumed Liabilities), with any such claims, liens</w:t>
      </w:r>
      <w:r>
        <w:t>, interests and encumbrances attaching to the sale proceeds in the same validity, extent and priority as immediately prior to the Sale of the Acquired Assets, subject to the provisions of the Stalking Horse Agreement, and any rights, claims and defenses of</w:t>
      </w:r>
      <w:r>
        <w:t xml:space="preserve"> the Debtors and other parties in interest</w:t>
      </w:r>
      <w:r>
        <w:rPr>
          <w:rFonts w:cs="Arial"/>
        </w:rPr>
        <w:t>.</w:t>
      </w:r>
    </w:p>
    <w:p w:rsidR="00471520" w:rsidRDefault="00B97C05">
      <w:pPr>
        <w:pStyle w:val="Pleading1L2"/>
        <w:tabs>
          <w:tab w:val="clear" w:pos="1440"/>
        </w:tabs>
        <w:spacing w:line="480" w:lineRule="auto"/>
        <w:ind w:firstLine="1440"/>
      </w:pPr>
      <w:r>
        <w:t>None of the Stalking Horse Purchaser or its affiliates, successors, assigns, equity holders, employees or professionals shall have or incur any liability to, or be subject to any action by any of the Debtors or a</w:t>
      </w:r>
      <w:r>
        <w:t>ny of their estates, predecessors, successors or assigns, arising out of the negotiation, investigation, preparation, execution, delivery of the Stalking Horse Agreement and the entry into and consummation of the Sale of the Acquired Assets, except as expr</w:t>
      </w:r>
      <w:r>
        <w:t>essly provided in the Stalking Horse Agreement and this Order.</w:t>
      </w:r>
    </w:p>
    <w:p w:rsidR="00471520" w:rsidRDefault="00B97C05">
      <w:pPr>
        <w:pStyle w:val="Pleading1L2"/>
        <w:tabs>
          <w:tab w:val="clear" w:pos="1440"/>
        </w:tabs>
        <w:spacing w:line="480" w:lineRule="auto"/>
        <w:ind w:firstLine="1440"/>
      </w:pPr>
      <w:r>
        <w:t>Except as expressly provided in the Stalking Horse Agreement or by this Order, all persons and entities, including, but not limited to, all debt security holders, equity security holders, gover</w:t>
      </w:r>
      <w:r>
        <w:t>nmental, tax and regulatory authorities, lenders, vendors, suppliers, employees, trade creditors, litigation claimants and other persons, holding claims, liens, interests or encumbrances of any kind or nature whatsoever against or in the Debtors or the Deb</w:t>
      </w:r>
      <w:r>
        <w:t>tors’ interests in the Acquired Assets (whether known or unknown, legal or equitable, matured or unmatured, contingent or noncontingent, liquidated or unliquidated, asserted or unasserted, whether arising prior to or subsequent to the commencement of these</w:t>
      </w:r>
      <w:r>
        <w:t xml:space="preserve"> Chapter 11 Cases, whether imposed by agreement, understanding, law, equity or otherwise), including, without limitation, the non-debtor party or parties to each Assumed Contract, arising under or out of, in connection with, or in any way relating to, the </w:t>
      </w:r>
      <w:r>
        <w:t xml:space="preserve">Acquired Assets or the transfer of the Debtors’ interests in the </w:t>
      </w:r>
      <w:r>
        <w:lastRenderedPageBreak/>
        <w:t>Acquired Assets to the Stalking Horse Purchaser, shall be and hereby are forever barred, estopped and permanently enjoined from asserting, prosecuting or otherwise pursuing claims, liens, int</w:t>
      </w:r>
      <w:r>
        <w:t xml:space="preserve">erests and encumbrances against the Stalking Horse Purchaser or its affiliates, successors, assigns, equity holders, employees or professionals the Acquired Assets, or the interests of the Debtors in such Acquired Assets.  Following the Closing, no holder </w:t>
      </w:r>
      <w:r>
        <w:t>of a claim, lien, interest or encumbrance against the Debtors shall interfere with the Stalking Horse Purchaser’s title to or use and enjoyment of the Debtors’ interests in the Acquired Assets based on or related to such claim, lien, interest or encumbranc</w:t>
      </w:r>
      <w:r>
        <w:t>e, and, except as otherwise provided in the Stalking Horse Agreement, the Escrow and Trust Agreements, or this Order, all such claims, liens, interests or encumbrances, if any, shall be, and hereby are transferred and attached to the proceeds from the Sale</w:t>
      </w:r>
      <w:r>
        <w:t xml:space="preserve"> of the Acquired Assets in the order of their priority, with the same validity, force and effect which they have against such Acquired Assets as of the Closing, subject to any rights, claims and defenses that the Debtors’ estate and Debtors, as applicable,</w:t>
      </w:r>
      <w:r>
        <w:t xml:space="preserve"> may possess with respect thereto.  All persons are hereby enjoined from taking action that would interfere with or adversely affect the ability of the Debtors to transfer the Acquired Assets in accordance with the terms of the Stalking Horse Agreement, th</w:t>
      </w:r>
      <w:r>
        <w:t>e Escrow and Trust Agreements, and this Order.</w:t>
      </w:r>
    </w:p>
    <w:p w:rsidR="00471520" w:rsidRDefault="00B97C05">
      <w:pPr>
        <w:pStyle w:val="Pleading1L2"/>
        <w:tabs>
          <w:tab w:val="clear" w:pos="1440"/>
        </w:tabs>
        <w:spacing w:line="480" w:lineRule="auto"/>
        <w:ind w:firstLine="1440"/>
      </w:pPr>
      <w:r>
        <w:t>Upon assumption of the Assumed Contracts by the Debtors and assignment of same to the Stalking Horse Purchaser, the Assumed Contracts shall be deemed valid and binding, in full force and effect in accordance w</w:t>
      </w:r>
      <w:r>
        <w:t xml:space="preserve">ith their terms, subject to the provisions of this Order.  As of the Closing, subject to the provisions of this Order, the Stalking Horse Purchaser shall succeed to the entirety of Debtors’ rights and obligations in the Assumed </w:t>
      </w:r>
      <w:r>
        <w:lastRenderedPageBreak/>
        <w:t xml:space="preserve">Contracts first arising and </w:t>
      </w:r>
      <w:r>
        <w:t>attributable to the time period occurring on or after the date the assignment of the Assumed Contracts becomes effective and shall have all rights thereunder.</w:t>
      </w:r>
    </w:p>
    <w:p w:rsidR="00471520" w:rsidRDefault="00B97C05">
      <w:pPr>
        <w:pStyle w:val="Pleading1L2"/>
        <w:widowControl w:val="0"/>
        <w:tabs>
          <w:tab w:val="clear" w:pos="1440"/>
        </w:tabs>
        <w:spacing w:line="480" w:lineRule="auto"/>
        <w:ind w:firstLine="1440"/>
      </w:pPr>
      <w:r>
        <w:t>Subject to paragraph 5 of this Order, upon the entry of this Order, (i) all defaults (monetary an</w:t>
      </w:r>
      <w:r>
        <w:t>d non-monetary) under the Assumed Contracts through the Closing shall be deemed cured and satisfied through the payment of the Cure Amounts, (ii) no other amounts will be owed by the Debtors, their estates or the Stalking Horse Purchaser with respect to am</w:t>
      </w:r>
      <w:r>
        <w:t>ounts first arising or accruing during, or attributable or related to, the period before Closing with respect to the Assumed Contracts, and (iii) any and all persons or entities shall be forever barred and estopped from asserting a claim against the Debtor</w:t>
      </w:r>
      <w:r>
        <w:t>s, their estates, or the Stalking Horse Purchaser that any additional amounts are due or defaults exist under the Assumed Contracts that arose or accrued, or relate to or are attributable to the period before the Closing.</w:t>
      </w:r>
    </w:p>
    <w:p w:rsidR="00471520" w:rsidRDefault="00B97C05">
      <w:pPr>
        <w:pStyle w:val="Pleading1L2"/>
        <w:spacing w:line="480" w:lineRule="auto"/>
        <w:ind w:firstLine="1440"/>
      </w:pPr>
      <w:r>
        <w:t>The creation and funding of the Es</w:t>
      </w:r>
      <w:r>
        <w:t>crow and Trust Arrangements are approved pursuant to Bankruptcy Code sections 105(a) and 363(b).  The Debtors and the other parties thereto are authorized, pursuant to Bankruptcy Code sections 105(a) and 363(b) and without further notice or relief from thi</w:t>
      </w:r>
      <w:r>
        <w:t xml:space="preserve">s Court, to enter into the Escrow and Trust Agreements, to take any and all actions that are necessary or appropriate in the exercise of their business judgment to implement the Escrow and Trust Arrangements, including employing third party contractors in </w:t>
      </w:r>
      <w:r>
        <w:t xml:space="preserve">accordance therewith, and to make or authorize the payments contemplated thereunder.  Funds deposited in accordance with the Trust and Escrow Arrangements shall not constitute property of any Debtor’s estate or be subject to claw back or disgorgement, and </w:t>
      </w:r>
      <w:r>
        <w:t xml:space="preserve">such funds (including any residual funds) may be released and applied in accordance with the terms thereof, without further order of this Court.   </w:t>
      </w:r>
    </w:p>
    <w:p w:rsidR="00471520" w:rsidRDefault="00B97C05">
      <w:pPr>
        <w:pStyle w:val="Pleading1L2"/>
        <w:tabs>
          <w:tab w:val="clear" w:pos="1440"/>
        </w:tabs>
        <w:spacing w:line="480" w:lineRule="auto"/>
        <w:ind w:firstLine="1440"/>
      </w:pPr>
      <w:r>
        <w:lastRenderedPageBreak/>
        <w:t>The Stalking Horse Agreement has been entered into by the Stalking Horse Purchaser in good faith and the Sta</w:t>
      </w:r>
      <w:r>
        <w:t>lking Horse Purchaser is a good faith purchaser of the Acquired Assets as that term is used in Bankruptcy Code section 363(m).  The Stalking Horse Purchaser is entitled to all of the protections afforded by Bankruptcy Code section 363(m).</w:t>
      </w:r>
    </w:p>
    <w:p w:rsidR="00471520" w:rsidRDefault="00B97C05">
      <w:pPr>
        <w:pStyle w:val="Pleading1L2"/>
        <w:tabs>
          <w:tab w:val="clear" w:pos="1440"/>
        </w:tabs>
        <w:spacing w:line="480" w:lineRule="auto"/>
        <w:ind w:firstLine="1440"/>
      </w:pPr>
      <w:r>
        <w:t>No bulk sales law</w:t>
      </w:r>
      <w:r>
        <w:t xml:space="preserve"> or any similar law of any state or other jurisdiction shall apply in any way to the Sale Transaction.  Except as otherwise provided in the Stalking Horse Agreement, the Estate Retained Professional Fee Escrow Agreement, and the Committee Member and Indent</w:t>
      </w:r>
      <w:r>
        <w:t>ure Trustees Fee Escrow Agreement, no obligation or liability, contingent or otherwise, for brokerage or finders’ fees or agents’ commissions or other similar payment is due to any person in connection with the Stalking Horse Agreement, the other transacti</w:t>
      </w:r>
      <w:r>
        <w:t>on documents or the transactions contemplated hereby or thereby for which the Stalking Horse Purchaser is or will become liable.</w:t>
      </w:r>
    </w:p>
    <w:p w:rsidR="00471520" w:rsidRDefault="00B97C05">
      <w:pPr>
        <w:pStyle w:val="Pleading1L2"/>
        <w:tabs>
          <w:tab w:val="clear" w:pos="1440"/>
        </w:tabs>
        <w:spacing w:line="480" w:lineRule="auto"/>
        <w:ind w:firstLine="1440"/>
      </w:pPr>
      <w:r>
        <w:t>The consideration provided by the Stalking Horse Purchaser for the Acquired Assets under the Stalking Horse Agreement, includin</w:t>
      </w:r>
      <w:r>
        <w:t>g the portion of the consideration that consisted of the Credit Bid and Release, shall be deemed for all purposes to constitute reasonably equivalent value and fair consideration under the Bankruptcy Code and any other applicable law, and the Sale of the A</w:t>
      </w:r>
      <w:r>
        <w:t>cquired Assets may not be avoided, or costs or damages imposed or awarded under Bankruptcy Code section 363(n) or any other provision of the Bankruptcy Code, the Uniform Fraudulent Transfer Act, the Uniform Fraudulent Conveyance Act or any other similar fe</w:t>
      </w:r>
      <w:r>
        <w:t>deral or state laws.</w:t>
      </w:r>
    </w:p>
    <w:p w:rsidR="00471520" w:rsidRDefault="00B97C05">
      <w:pPr>
        <w:pStyle w:val="Pleading1L2"/>
        <w:tabs>
          <w:tab w:val="clear" w:pos="1440"/>
        </w:tabs>
        <w:spacing w:line="480" w:lineRule="auto"/>
        <w:ind w:firstLine="1440"/>
      </w:pPr>
      <w:r>
        <w:t>On the Closing Date, this Order shall be construed and shall constitute for any and all purposes a full and complete general assignment, conveyance and transfer of all of the Debtors’ rights, title and interest in the Acquired Assets o</w:t>
      </w:r>
      <w:r>
        <w:t xml:space="preserve">r a bill of sale transferring good and </w:t>
      </w:r>
      <w:r>
        <w:lastRenderedPageBreak/>
        <w:t>marketable title in such Acquired Assets to the Stalking Horse Purchaser on the Closing Date pursuant to the terms of the Stalking Horse Agreement, free and clear of all claims, liens, interests and encumbrances (othe</w:t>
      </w:r>
      <w:r>
        <w:t>r than Assumed Liabilities and Permitted Encumbrances).</w:t>
      </w:r>
    </w:p>
    <w:p w:rsidR="00471520" w:rsidRDefault="00B97C05">
      <w:pPr>
        <w:pStyle w:val="Pleading1L2"/>
        <w:tabs>
          <w:tab w:val="clear" w:pos="1440"/>
        </w:tabs>
        <w:spacing w:line="480" w:lineRule="auto"/>
        <w:ind w:firstLine="1440"/>
      </w:pPr>
      <w:r>
        <w:t>Upon the Closing, except as specifically included in Assumed Liabilities, the Stalking Horse Purchaser shall not and shall not be deemed to:  (i) be the successor of or successor employer (as describe</w:t>
      </w:r>
      <w:r>
        <w:t>d under COBRA and applicable regulations thereunder) to the Sellers, including without limitation, with respect to any Collective Bargaining Agreements and any Benefit Plans, except for Buyer Benefit Plans, under the Coal Act, and any common law successors</w:t>
      </w:r>
      <w:r>
        <w:t>hip liability in relation to the UMWA 1974 Pension Plan, including with respect to withdrawal liability; (ii) be the successor of or successor employer to the Sellers, and shall instead be, and be deemed to be, a new employer with respect to any and all fe</w:t>
      </w:r>
      <w:r>
        <w:t xml:space="preserve">deral or state unemployment laws, including any unemployment compensation or tax laws, or any other similar federal or state laws; (iii) have, </w:t>
      </w:r>
      <w:r>
        <w:rPr>
          <w:i/>
        </w:rPr>
        <w:t>de facto</w:t>
      </w:r>
      <w:r>
        <w:t>, or otherwise, merged or consolidated with or into Sellers; (iv) be a mere continuation or substantial continuation of Sellers or the enterprise(s) of Sellers; or (v) be liable for any acts or omissions of Sellers in the conduct of the Business or arising</w:t>
      </w:r>
      <w:r>
        <w:t xml:space="preserve"> under or related to the Acquired Assets other than as set forth in the Stalking Horse Agreement.  Without limiting the generality of the foregoing, and except as otherwise provided in the Stalking Horse Agreement, the parties intend and the Court hereby o</w:t>
      </w:r>
      <w:r>
        <w:t>rders that the Stalking Horse Purchaser shall not be liable for any Encumbrance or Liability (other than Assumed Liabilities and Permitted Encumbrances) against any Seller, or any of its predecessors or Affiliates, and the Stalking Horse Purchaser shall ha</w:t>
      </w:r>
      <w:r>
        <w:t xml:space="preserve">ve no successor or vicarious liability of any kind or character whether known or unknown as of the Closing Date, whether now existing or </w:t>
      </w:r>
      <w:r>
        <w:lastRenderedPageBreak/>
        <w:t>hereafter arising, or whether fixed or contingent, with respect to the Business, the Acquired Assets or any Liabilities</w:t>
      </w:r>
      <w:r>
        <w:t xml:space="preserve"> of any Seller arising prior to the Closing Date.</w:t>
      </w:r>
    </w:p>
    <w:p w:rsidR="00471520" w:rsidRDefault="00B97C05">
      <w:pPr>
        <w:pStyle w:val="Pleading1L2"/>
        <w:tabs>
          <w:tab w:val="clear" w:pos="1440"/>
        </w:tabs>
        <w:spacing w:line="480" w:lineRule="auto"/>
        <w:ind w:firstLine="1440"/>
      </w:pPr>
      <w:r>
        <w:t>This Order:  (a) is and shall be effective as a determination that other than Permitted Encumbrances and Assumed Liabilities, all claims, liens, interests and encumbrances of any kind or nature whatsoever e</w:t>
      </w:r>
      <w:r>
        <w:t xml:space="preserve">xisting as to the Acquired Assets prior to the Closing have been unconditionally released, discharged and terminated, and that the conveyances described herein have been effected; (b) shall be effective as a determination that, on the Closing Date, all of </w:t>
      </w:r>
      <w:r>
        <w:t xml:space="preserve">the First Lien Creditors, unsecured creditors and any other party receiving interests in Coal Acquisition LLC shall be deemed to be bound by the Limited Liability Company Agreement of Coal Acquisition LLC (as amended or restated from time to time) without </w:t>
      </w:r>
      <w:r>
        <w:t>any further court order or further action, approval or consent by the Credit Agreement Agent, Indenture Trustee, any First Lien Creditor, unsecured creditor or any other party receiving interests in Coal Acquisition LLC; and (c) is and shall be binding upo</w:t>
      </w:r>
      <w:r>
        <w:t>n and shall authorize all entities, including, all filing agents, filing officers, title agents, title companies, recorders of mortgages, recorders of deeds, registrars of deeds, administrative agencies or units, governmental departments or units, secretar</w:t>
      </w:r>
      <w:r>
        <w:t xml:space="preserve">ies of state, federal, state and local officials and all other persons and entities who may be required by operation of law, the duties of their office, or contract, to accept, file, register or otherwise record or release any documents or instruments, or </w:t>
      </w:r>
      <w:r>
        <w:t>who may be required to report or insure any title or state of title in or to the Acquired Assets conveyed to the Stalking Horse Purchaser.  Other than Permitted Encumbrances, all recorded claims, liens, interests and encumbrances against the Acquired Asset</w:t>
      </w:r>
      <w:r>
        <w:t>s from their records, official and otherwise, shall be deemed stricken.</w:t>
      </w:r>
    </w:p>
    <w:p w:rsidR="00471520" w:rsidRDefault="00B97C05">
      <w:pPr>
        <w:pStyle w:val="Pleading1L2"/>
        <w:tabs>
          <w:tab w:val="clear" w:pos="1440"/>
        </w:tabs>
        <w:spacing w:line="480" w:lineRule="auto"/>
        <w:ind w:firstLine="1440"/>
      </w:pPr>
      <w:r>
        <w:lastRenderedPageBreak/>
        <w:t>If any person or entity which has filed statements or other documents or agreements evidencing liens, interests or encumbrances on, or claims in, the Acquired Assets shall not have del</w:t>
      </w:r>
      <w:r>
        <w:t>ivered to the Debtors before the Closing, in proper form for filing and executed by the appropriate parties, termination statements, instruments of satisfaction, releases of liens and easements, and any other documents necessary for the purpose of document</w:t>
      </w:r>
      <w:r>
        <w:t>ing the release of all claims, liens, interests or encumbrances (other than Permitted Encumbrances) which the person or entity has or may assert with respect to the Acquired Assets, the Debtors and the Stalking Horse Purchaser are hereby authorized to exec</w:t>
      </w:r>
      <w:r>
        <w:t>ute and file such statements, instruments, releases and other documents on behalf of such person or entity with respect to the Acquired Assets.</w:t>
      </w:r>
    </w:p>
    <w:p w:rsidR="00471520" w:rsidRDefault="00B97C05">
      <w:pPr>
        <w:pStyle w:val="Pleading1L2"/>
        <w:tabs>
          <w:tab w:val="clear" w:pos="1440"/>
        </w:tabs>
        <w:spacing w:line="480" w:lineRule="auto"/>
        <w:ind w:firstLine="1440"/>
      </w:pPr>
      <w:r>
        <w:t>All counterparties to the Assumed Contracts shall cooperate and expeditiously execute and deliver, upon the reas</w:t>
      </w:r>
      <w:r>
        <w:t>onable requests of the Stalking Horse Purchaser, and shall not charge the Debtors or the Stalking Horse Purchaser for any instruments, applications, consents or other documents which may be required or requested by any public or quasi-public authority or o</w:t>
      </w:r>
      <w:r>
        <w:t>ther party or entity to effectuate the applicable transfers in connection with the Sale of the Acquired Assets.</w:t>
      </w:r>
    </w:p>
    <w:p w:rsidR="00471520" w:rsidRDefault="00B97C05">
      <w:pPr>
        <w:pStyle w:val="Pleading1L2"/>
        <w:tabs>
          <w:tab w:val="clear" w:pos="1440"/>
        </w:tabs>
        <w:spacing w:line="480" w:lineRule="auto"/>
        <w:ind w:firstLine="1440"/>
      </w:pPr>
      <w:r>
        <w:t xml:space="preserve">Each and every federal, state and governmental agency or department, and any other person or entity, is hereby authorized to accept any and all </w:t>
      </w:r>
      <w:r>
        <w:t>documents and instruments in connection with or necessary to consummate the Sale contemplated by the Stalking Horse Agreement.</w:t>
      </w:r>
    </w:p>
    <w:p w:rsidR="00471520" w:rsidRDefault="00B97C05">
      <w:pPr>
        <w:pStyle w:val="Pleading1L2"/>
        <w:tabs>
          <w:tab w:val="clear" w:pos="1440"/>
        </w:tabs>
        <w:spacing w:line="480" w:lineRule="auto"/>
        <w:ind w:firstLine="1440"/>
      </w:pPr>
      <w:r>
        <w:t>Nothing in this Order or the Stalking Horse Agreement releases, nullifies, precludes, or enjoins the enforcement of any police or</w:t>
      </w:r>
      <w:r>
        <w:t xml:space="preserve"> regulatory liability to a governmental unit that any entity would be subject to as the owner or operator of property after the Closing Date.  </w:t>
      </w:r>
      <w:r>
        <w:lastRenderedPageBreak/>
        <w:t>Nothing in this Order or the Stalking Horse Agreement authorizes the transfer or assignment of any governmental (</w:t>
      </w:r>
      <w:r>
        <w:t>a) license, (b) permit, (c) registration, (d) authorization or (e) approval, or the discontinuation of any obligation thereunder, without compliance with any applicable legal requirements under police or regulatory law.</w:t>
      </w:r>
    </w:p>
    <w:p w:rsidR="00471520" w:rsidRDefault="00B97C05">
      <w:pPr>
        <w:pStyle w:val="Pleading1L2"/>
        <w:tabs>
          <w:tab w:val="clear" w:pos="1440"/>
        </w:tabs>
        <w:spacing w:line="480" w:lineRule="auto"/>
        <w:ind w:firstLine="1440"/>
      </w:pPr>
      <w:r>
        <w:t>No governmental unit may revoke or s</w:t>
      </w:r>
      <w:r>
        <w:t>uspend any right, license, trademark or other permission relating to the use of the Acquired Assets sold, transferred or conveyed to the Stalking Horse Purchaser on account of the filing or pendency of these Chapter 11 Cases or the consummation of the Sale</w:t>
      </w:r>
      <w:r>
        <w:t xml:space="preserve"> of the Acquired Assets.</w:t>
      </w:r>
    </w:p>
    <w:p w:rsidR="00471520" w:rsidRDefault="00B97C05">
      <w:pPr>
        <w:pStyle w:val="Pleading1L2"/>
        <w:spacing w:line="480" w:lineRule="auto"/>
        <w:ind w:firstLine="1440"/>
      </w:pPr>
      <w:r>
        <w:t xml:space="preserve">No provision of the Bidding Procedures Order, this Order, the Stalking Horse Agreement (or any other purchase/sale agreement) shall be a ruling or is intended to be construed as a ruling on whether the Stalking Horse Purchaser (or </w:t>
      </w:r>
      <w:r>
        <w:t>any other purchaser) is a successor to the debtors for purposes of registration and reporting under the federal securities laws (including relevant rules and regulations promulgated thereunder) (the “</w:t>
      </w:r>
      <w:r>
        <w:rPr>
          <w:u w:val="single"/>
        </w:rPr>
        <w:t>Federal Securities Laws</w:t>
      </w:r>
      <w:r>
        <w:t>”); and the Stalking Horse Purcha</w:t>
      </w:r>
      <w:r>
        <w:t>ser’s (or any other purchaser’s) obligation, if any, to file periodic public reports with the United States Securities and Exchange Commission shall be governed by applicable provisions of the Federal Securities Laws.  Nothing in the Bidding Procedures Ord</w:t>
      </w:r>
      <w:r>
        <w:t>er, this Order, the Stalking Horse Agreement, or any other purchase/sale agreement with any other party shall relieve or excuse the Debtor, the Stalking Horse Purchaser, or any other party from complying with any and all applicable Federal Securities Laws.</w:t>
      </w:r>
      <w:r>
        <w:t xml:space="preserve">  Further, the Stalking Horse Agreement, and this Order are not binding upon the SEC with respect to enforcement of its police or regulatory powers and shall not limit the SEC from pursuing any police or regulatory enforcement action.</w:t>
      </w:r>
    </w:p>
    <w:p w:rsidR="00471520" w:rsidRDefault="00B97C05">
      <w:pPr>
        <w:pStyle w:val="Pleading1L2"/>
        <w:tabs>
          <w:tab w:val="clear" w:pos="1440"/>
        </w:tabs>
        <w:spacing w:line="480" w:lineRule="auto"/>
        <w:ind w:firstLine="1440"/>
      </w:pPr>
      <w:r>
        <w:lastRenderedPageBreak/>
        <w:t>To the extent this Or</w:t>
      </w:r>
      <w:r>
        <w:t xml:space="preserve">der is inconsistent with any prior order or pleading filed in these Chapter 11 Cases related to the Motion, the terms of this Order shall govern.  To the extent there is any inconsistency between the terms of this Order and the terms of the Stalking Horse </w:t>
      </w:r>
      <w:r>
        <w:t>Agreement, the terms of this Order shall govern.</w:t>
      </w:r>
    </w:p>
    <w:p w:rsidR="00471520" w:rsidRDefault="00B97C05">
      <w:pPr>
        <w:pStyle w:val="Pleading1L2"/>
        <w:tabs>
          <w:tab w:val="clear" w:pos="1440"/>
        </w:tabs>
        <w:spacing w:line="480" w:lineRule="auto"/>
        <w:ind w:firstLine="1440"/>
      </w:pPr>
      <w:r>
        <w:t>Except as expressly provided in the Stalking Horse Agreement, nothing in this Order shall be deemed to waive, release, extinguish or estop</w:t>
      </w:r>
      <w:r>
        <w:t xml:space="preserve"> the Debtors or their estates from asserting, or otherwise impair or diminish, any right (including, without limitation, any right of recoupment), claim, cause of action, defense, offset or counterclaim in respect of any asset that is not an Acquired Asset</w:t>
      </w:r>
      <w:r>
        <w:t>.</w:t>
      </w:r>
    </w:p>
    <w:p w:rsidR="00471520" w:rsidRDefault="00B97C05">
      <w:pPr>
        <w:pStyle w:val="Pleading1L2"/>
        <w:tabs>
          <w:tab w:val="clear" w:pos="1440"/>
        </w:tabs>
        <w:spacing w:line="480" w:lineRule="auto"/>
        <w:ind w:firstLine="1440"/>
      </w:pPr>
      <w:r>
        <w:t>All entities that are presently, or on the Closing Date may be, in possession of some or all of the Acquired Assets are hereby directed to surrender possession of the Acquired Assets to the Stalking Horse Purchaser on the Closing Date.</w:t>
      </w:r>
    </w:p>
    <w:p w:rsidR="00471520" w:rsidRDefault="00B97C05">
      <w:pPr>
        <w:pStyle w:val="Pleading1L2"/>
        <w:tabs>
          <w:tab w:val="clear" w:pos="1440"/>
        </w:tabs>
        <w:spacing w:line="480" w:lineRule="auto"/>
        <w:ind w:firstLine="1440"/>
      </w:pPr>
      <w:r>
        <w:t>This Order shall n</w:t>
      </w:r>
      <w:r>
        <w:t>ot be modified by any chapter 11 plan of any of the Debtors confirmed in these Chapter 11 Cases.</w:t>
      </w:r>
    </w:p>
    <w:p w:rsidR="00471520" w:rsidRDefault="00B97C05">
      <w:pPr>
        <w:pStyle w:val="Pleading1L2"/>
        <w:tabs>
          <w:tab w:val="clear" w:pos="1440"/>
        </w:tabs>
        <w:spacing w:line="480" w:lineRule="auto"/>
        <w:ind w:firstLine="1440"/>
      </w:pPr>
      <w:r>
        <w:t xml:space="preserve">This Order and the Stalking Horse Agreement shall be binding in all respects upon all creditors and interest holders of the Debtors, all non-debtor parties to </w:t>
      </w:r>
      <w:r>
        <w:t xml:space="preserve">the Assumed Contracts, the UCC, all successors and assigns of the Debtors and their affiliates and subsidiaries, and any trustees, examiners, “responsible persons” or other fiduciaries appointed in the Chapter 11 Cases or upon a conversion of the Debtors’ </w:t>
      </w:r>
      <w:r>
        <w:t>cases to those under chapter 7 of the Bankruptcy Code, including a chapter 7 trustee, and the Stalking Horse Agreement, including, for the avoidance of doubt, the Escrow and Trust Agreements, shall not be subject to rejection or avoidance under any circums</w:t>
      </w:r>
      <w:r>
        <w:t xml:space="preserve">tances.  If any order under Bankruptcy Code section 1112 is entered, such order shall provide (in accordance with Bankruptcy Code sections 105 and 349) </w:t>
      </w:r>
      <w:r>
        <w:lastRenderedPageBreak/>
        <w:t>that this Order and the rights granted to the Stalking Horse Purchaser hereunder and the rights and obli</w:t>
      </w:r>
      <w:r>
        <w:t>gations of any trustee or escrow agent appointed under the Escrow and Trust Agreements shall remain effective and, notwithstanding such dismissal, shall remain binding on parties in interest.</w:t>
      </w:r>
    </w:p>
    <w:p w:rsidR="00471520" w:rsidRDefault="00B97C05">
      <w:pPr>
        <w:pStyle w:val="Pleading1L2"/>
        <w:tabs>
          <w:tab w:val="clear" w:pos="1440"/>
        </w:tabs>
        <w:spacing w:line="480" w:lineRule="auto"/>
        <w:ind w:firstLine="1440"/>
      </w:pPr>
      <w:r>
        <w:t>The failure specifically to include or make reference to any par</w:t>
      </w:r>
      <w:r>
        <w:t>ticular provisions of the Stalking Horse Agreement in this Order shall not diminish or impair the effectiveness of such provision, it being the intent of the Court that the Stalking Horse Agreement is authorized and approved in its entirety.</w:t>
      </w:r>
    </w:p>
    <w:p w:rsidR="00471520" w:rsidRDefault="00B97C05">
      <w:pPr>
        <w:pStyle w:val="Pleading1L2"/>
        <w:spacing w:line="480" w:lineRule="auto"/>
        <w:ind w:firstLine="1440"/>
      </w:pPr>
      <w:r>
        <w:t>[ [_______] is</w:t>
      </w:r>
      <w:r>
        <w:t xml:space="preserve"> hereby declared as the Backup Bidder for the Acquired Assets.  Subject to, and in accordance with, the terms of this Order, the Debtors are authorized to consummate, complete and close the sale of the Acquired Assets and the assumption and assignment of t</w:t>
      </w:r>
      <w:r>
        <w:t>he Assigned Contracts to the Backup Bidder in the event that the sale to the Stalking Horse Purchaser as contemplated by the Stalking Horse Agreement does not close for any reason whatsoever, without further order of this Court.]</w:t>
      </w:r>
    </w:p>
    <w:p w:rsidR="00471520" w:rsidRDefault="00B97C05">
      <w:pPr>
        <w:pStyle w:val="Pleading1L2"/>
        <w:tabs>
          <w:tab w:val="clear" w:pos="1440"/>
        </w:tabs>
        <w:spacing w:line="480" w:lineRule="auto"/>
        <w:ind w:firstLine="1440"/>
      </w:pPr>
      <w:r>
        <w:t>The Court retains jurisdic</w:t>
      </w:r>
      <w:r>
        <w:t>tion with respect to all matters arising from or related to the implementation of this Order, including, without limitation, the authority to: (i) interpret, implement and enforce the terms and provisions of this Order (including the injunctive relief prov</w:t>
      </w:r>
      <w:r>
        <w:t>ided in this Order) and the terms of the Stalking Horse Agreement, all amendments thereto and any waivers and consents thereunder; (ii) protect the Stalking Horse Purchaser, or the Acquired Assets, from and against any of the claims, liens, interests or en</w:t>
      </w:r>
      <w:r>
        <w:t xml:space="preserve">cumbrances; (iii) compel delivery of all Acquired Assets to the Stalking Horse Purchaser; (iv) compel the Stalking Horse Purchaser to perform all of its obligations under the Stalking Horse </w:t>
      </w:r>
      <w:r>
        <w:lastRenderedPageBreak/>
        <w:t>Agreement; and (v) resolve any disputes arising under or related t</w:t>
      </w:r>
      <w:r>
        <w:t>o the Stalking Horse Agreement or the Sale of the Acquired Assets.</w:t>
      </w:r>
    </w:p>
    <w:p w:rsidR="00471520" w:rsidRDefault="00B97C05">
      <w:pPr>
        <w:pStyle w:val="Pleading1L2"/>
        <w:tabs>
          <w:tab w:val="clear" w:pos="1440"/>
        </w:tabs>
        <w:spacing w:line="480" w:lineRule="auto"/>
        <w:ind w:firstLine="1440"/>
      </w:pPr>
      <w:r>
        <w:t xml:space="preserve">The Stalking Horse Agreement and any related agreements, documents or other instruments may be modified, amended or supplemented through a written document signed by the parties thereto in </w:t>
      </w:r>
      <w:r>
        <w:t xml:space="preserve">accordance with the terms thereof without further order of the Court; </w:t>
      </w:r>
      <w:r>
        <w:rPr>
          <w:u w:val="single"/>
        </w:rPr>
        <w:t>provided</w:t>
      </w:r>
      <w:r>
        <w:t xml:space="preserve">, </w:t>
      </w:r>
      <w:r>
        <w:rPr>
          <w:u w:val="single"/>
        </w:rPr>
        <w:t>however</w:t>
      </w:r>
      <w:r>
        <w:t>, that any such modification, amendment or supplement is neither material nor materially changes the economic substance of the transactions contemplated hereby.</w:t>
      </w:r>
    </w:p>
    <w:p w:rsidR="00471520" w:rsidRDefault="00B97C05">
      <w:pPr>
        <w:pStyle w:val="Pleading1L2"/>
        <w:tabs>
          <w:tab w:val="clear" w:pos="1440"/>
        </w:tabs>
        <w:spacing w:line="480" w:lineRule="auto"/>
        <w:ind w:firstLine="1440"/>
      </w:pPr>
      <w:r>
        <w:t>This Ord</w:t>
      </w:r>
      <w:r>
        <w:t>er constitutes a final order within the meaning of 28 U.S.C. § 158(a).  Notwithstanding any provision in the Bankruptcy Rules to the contrary, including but not limited to Bankruptcy Rule 6004(h), the Court expressly finds there is no reason for delay in t</w:t>
      </w:r>
      <w:r>
        <w:t xml:space="preserve">he implementation of this Order and, accordingly: (i) the terms of this Order shall be immediately effective and enforceable upon its entry; (ii) the Debtors are not subject to any stay of this Order or in the implementation, enforcement or realization of </w:t>
      </w:r>
      <w:r>
        <w:t>the relief granted in this Order; and (iii) the Debtors may, in their discretion and without further delay, take any action and perform any act authorized under this Order.</w:t>
      </w:r>
    </w:p>
    <w:p w:rsidR="00471520" w:rsidRDefault="00B97C05">
      <w:pPr>
        <w:pStyle w:val="Pleading1L2"/>
        <w:tabs>
          <w:tab w:val="clear" w:pos="1440"/>
        </w:tabs>
        <w:spacing w:line="480" w:lineRule="auto"/>
        <w:ind w:firstLine="1440"/>
      </w:pPr>
      <w:r>
        <w:t>The provisions of this order are nonseverable and mutually dependent.</w:t>
      </w:r>
    </w:p>
    <w:p w:rsidR="00471520" w:rsidRDefault="00B97C05">
      <w:pPr>
        <w:pStyle w:val="LeftSingle"/>
        <w:ind w:left="810" w:hanging="810"/>
      </w:pPr>
      <w:r>
        <w:t>Dated:  Birmi</w:t>
      </w:r>
      <w:r>
        <w:t>ngham, Alabama</w:t>
      </w:r>
      <w:r>
        <w:br/>
        <w:t>January __, 2016</w:t>
      </w:r>
    </w:p>
    <w:p w:rsidR="00471520" w:rsidRDefault="00B97C05">
      <w:pPr>
        <w:pStyle w:val="Signature"/>
        <w:tabs>
          <w:tab w:val="clear" w:pos="8640"/>
          <w:tab w:val="right" w:pos="8010"/>
        </w:tabs>
        <w:ind w:left="3780"/>
        <w:rPr>
          <w:caps/>
        </w:rPr>
      </w:pPr>
      <w:r>
        <w:rPr>
          <w:u w:val="single"/>
        </w:rPr>
        <w:tab/>
      </w:r>
      <w:r>
        <w:rPr>
          <w:u w:val="single"/>
        </w:rPr>
        <w:tab/>
      </w:r>
      <w:r>
        <w:br/>
      </w:r>
      <w:r>
        <w:rPr>
          <w:caps/>
        </w:rPr>
        <w:t>THE Honorable Tamara O. Mitchell</w:t>
      </w:r>
      <w:r>
        <w:rPr>
          <w:caps/>
        </w:rPr>
        <w:br/>
        <w:t>UNITED STATES BANKRUPTCY JUDGE</w:t>
      </w:r>
    </w:p>
    <w:p w:rsidR="00471520" w:rsidRDefault="00471520">
      <w:pPr>
        <w:widowControl w:val="0"/>
        <w:tabs>
          <w:tab w:val="right" w:leader="underscore" w:pos="3275"/>
        </w:tabs>
        <w:ind w:left="72"/>
        <w:sectPr w:rsidR="00471520">
          <w:footerReference w:type="default" r:id="rId7"/>
          <w:pgSz w:w="12240" w:h="15840" w:code="1"/>
          <w:pgMar w:top="1440" w:right="1440" w:bottom="1440" w:left="1440" w:header="720" w:footer="720" w:gutter="0"/>
          <w:pgNumType w:start="1"/>
          <w:cols w:space="720"/>
          <w:titlePg/>
          <w:docGrid w:linePitch="360"/>
        </w:sectPr>
      </w:pPr>
    </w:p>
    <w:p w:rsidR="00471520" w:rsidRDefault="00B97C05">
      <w:pPr>
        <w:widowControl w:val="0"/>
        <w:tabs>
          <w:tab w:val="right" w:leader="underscore" w:pos="3275"/>
        </w:tabs>
        <w:ind w:left="72"/>
        <w:jc w:val="center"/>
      </w:pPr>
      <w:r>
        <w:lastRenderedPageBreak/>
        <w:t>Schedule 1</w:t>
      </w:r>
    </w:p>
    <w:p w:rsidR="00471520" w:rsidRDefault="00471520">
      <w:pPr>
        <w:widowControl w:val="0"/>
        <w:tabs>
          <w:tab w:val="right" w:leader="underscore" w:pos="3275"/>
        </w:tabs>
        <w:ind w:left="72"/>
        <w:jc w:val="center"/>
      </w:pPr>
    </w:p>
    <w:p w:rsidR="00471520" w:rsidRDefault="00B97C05">
      <w:pPr>
        <w:widowControl w:val="0"/>
        <w:tabs>
          <w:tab w:val="right" w:leader="underscore" w:pos="3275"/>
        </w:tabs>
        <w:jc w:val="center"/>
      </w:pPr>
      <w:r>
        <w:t>[To come]</w:t>
      </w:r>
    </w:p>
    <w:p w:rsidR="00471520" w:rsidRDefault="00471520"/>
    <w:sectPr w:rsidR="00471520" w:rsidSect="0047152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C05" w:rsidRDefault="00B97C05">
      <w:r>
        <w:separator/>
      </w:r>
    </w:p>
  </w:endnote>
  <w:endnote w:type="continuationSeparator" w:id="0">
    <w:p w:rsidR="00B97C05" w:rsidRDefault="00B97C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20" w:rsidRDefault="00471520">
    <w:pPr>
      <w:pStyle w:val="Footer"/>
      <w:spacing w:line="200" w:lineRule="exact"/>
      <w:jc w:val="center"/>
      <w:rPr>
        <w:rStyle w:val="PageNumber"/>
        <w:b/>
      </w:rPr>
    </w:pPr>
    <w:r>
      <w:rPr>
        <w:rStyle w:val="PageNumber"/>
      </w:rPr>
      <w:fldChar w:fldCharType="begin"/>
    </w:r>
    <w:r w:rsidR="00B97C05">
      <w:rPr>
        <w:rStyle w:val="PageNumber"/>
      </w:rPr>
      <w:instrText xml:space="preserve"> PAGE </w:instrText>
    </w:r>
    <w:r>
      <w:rPr>
        <w:rStyle w:val="PageNumber"/>
      </w:rPr>
      <w:fldChar w:fldCharType="separate"/>
    </w:r>
    <w:r w:rsidR="005D58C4">
      <w:rPr>
        <w:rStyle w:val="PageNumber"/>
        <w:noProof/>
      </w:rPr>
      <w:t>28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C05" w:rsidRDefault="00B97C05">
      <w:r>
        <w:separator/>
      </w:r>
    </w:p>
  </w:footnote>
  <w:footnote w:type="continuationSeparator" w:id="0">
    <w:p w:rsidR="00B97C05" w:rsidRDefault="00B97C05">
      <w:r>
        <w:continuationSeparator/>
      </w:r>
    </w:p>
  </w:footnote>
  <w:footnote w:id="1">
    <w:p w:rsidR="00471520" w:rsidRDefault="00B97C05">
      <w:pPr>
        <w:pStyle w:val="FootnoteText"/>
        <w:spacing w:after="120"/>
        <w:ind w:left="360" w:hanging="360"/>
      </w:pPr>
      <w:r>
        <w:rPr>
          <w:rStyle w:val="FootnoteReference"/>
        </w:rPr>
        <w:footnoteRef/>
      </w:r>
      <w:r>
        <w:t xml:space="preserve"> </w:t>
      </w:r>
      <w:r>
        <w:tab/>
      </w:r>
      <w:r>
        <w:t>The Debtors in these cases, along with the last four digits of each of the Debtors’ federal tax identification number, are: Walter Energy, Inc. (9953); Atlantic Development and Capital, LLC (8121); Atlantic Leaseco LLC (5308); Blue Creek Coal Sales, Inc. (</w:t>
      </w:r>
      <w:r>
        <w:t>6986); Blue Creek Energy, Inc. (0986); J.W. Walter, Inc. (0648); Jefferson Warrior Railroad Company, Inc. (3200); Jim Walter Homes, LLC (4589); Jim Walter Resources, Inc. (1186); Maple Coal Co. LLC (6791); Sloss-Sheffield Steel &amp; Iron Company (4884); SP Ma</w:t>
      </w:r>
      <w:r>
        <w:t>chine, Inc. (9945); Taft Coal Sales &amp; Associates, Inc. (8731); Tuscaloosa Resources, Inc. (4869); V Manufacturing Company (9790); Walter Black Warrior Basin LLC (5973); Walter Coke, Inc. (9791); Walter Energy Holdings, LLC (1596); Walter Exploration &amp; Prod</w:t>
      </w:r>
      <w:r>
        <w:t xml:space="preserve">uction LLC (5786); Walter Home Improvement, Inc. (1633); Walter Land Company (7709); Walter Minerals, Inc. (9714); and Walter Natural Gas, LLC (1198). </w:t>
      </w:r>
    </w:p>
  </w:footnote>
  <w:footnote w:id="2">
    <w:p w:rsidR="00471520" w:rsidRDefault="00B97C05">
      <w:pPr>
        <w:pStyle w:val="FootnoteText"/>
        <w:ind w:left="360" w:hanging="360"/>
      </w:pPr>
      <w:r>
        <w:rPr>
          <w:rStyle w:val="FootnoteReference"/>
        </w:rPr>
        <w:footnoteRef/>
      </w:r>
      <w:r>
        <w:t xml:space="preserve"> </w:t>
      </w:r>
      <w:r>
        <w:tab/>
        <w:t>Unless otherwise defined herein, capitalized terms shall have the meanings ascribed to them in the Mo</w:t>
      </w:r>
      <w:r>
        <w:t>tion or the Bidding Procedures Order (as defined below), as applicable.</w:t>
      </w:r>
    </w:p>
  </w:footnote>
  <w:footnote w:id="3">
    <w:p w:rsidR="00471520" w:rsidRDefault="00B97C05">
      <w:pPr>
        <w:pStyle w:val="FootnoteText"/>
        <w:ind w:left="360" w:hanging="360"/>
      </w:pPr>
      <w:r>
        <w:rPr>
          <w:rStyle w:val="FootnoteReference"/>
        </w:rPr>
        <w:footnoteRef/>
      </w:r>
      <w:r>
        <w:tab/>
        <w:t>The findings and conclusions set forth herein constitute this Court’s findings of fact and conclusions of law pursuant to Bankruptcy Rule 7052, made applicable to this proceeding pur</w:t>
      </w:r>
      <w:r>
        <w:t xml:space="preserve">suant to Bankruptcy Rule 9014.  To the extent any of the following findings of fact constitute conclusions of law, they are adopted as such. To the extent any of the following conclusions of law constitute findings of fact, they are adopted as such. </w:t>
      </w:r>
    </w:p>
  </w:footnote>
  <w:footnote w:id="4">
    <w:p w:rsidR="00471520" w:rsidRDefault="00B97C05">
      <w:pPr>
        <w:pStyle w:val="FootnoteText"/>
        <w:ind w:left="360" w:hanging="360"/>
      </w:pPr>
      <w:r>
        <w:rPr>
          <w:rStyle w:val="FootnoteReference"/>
        </w:rPr>
        <w:footnoteRef/>
      </w:r>
      <w:r>
        <w:t xml:space="preserve"> </w:t>
      </w:r>
      <w:r>
        <w:tab/>
        <w:t>On</w:t>
      </w:r>
      <w:r>
        <w:t xml:space="preserve"> December 1, 2015, the Steering Committee filed a motion [Docket No. 1161] seeking a determination of the value of the First Lien Creditors’ adequate protection claims arising from the diminution in the value of their collateral so that those amounts could</w:t>
      </w:r>
      <w:r>
        <w:t xml:space="preserve"> be included in the credit 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CB51E"/>
    <w:lvl w:ilvl="0">
      <w:start w:val="1"/>
      <w:numFmt w:val="decimal"/>
      <w:lvlText w:val="%1."/>
      <w:lvlJc w:val="left"/>
      <w:pPr>
        <w:tabs>
          <w:tab w:val="num" w:pos="1800"/>
        </w:tabs>
        <w:ind w:left="1800" w:hanging="360"/>
      </w:pPr>
    </w:lvl>
  </w:abstractNum>
  <w:abstractNum w:abstractNumId="1">
    <w:nsid w:val="FFFFFF7D"/>
    <w:multiLevelType w:val="singleLevel"/>
    <w:tmpl w:val="EA0A1FD8"/>
    <w:lvl w:ilvl="0">
      <w:start w:val="1"/>
      <w:numFmt w:val="decimal"/>
      <w:lvlText w:val="%1."/>
      <w:lvlJc w:val="left"/>
      <w:pPr>
        <w:tabs>
          <w:tab w:val="num" w:pos="1440"/>
        </w:tabs>
        <w:ind w:left="1440" w:hanging="360"/>
      </w:pPr>
    </w:lvl>
  </w:abstractNum>
  <w:abstractNum w:abstractNumId="2">
    <w:nsid w:val="FFFFFF7E"/>
    <w:multiLevelType w:val="singleLevel"/>
    <w:tmpl w:val="91783258"/>
    <w:lvl w:ilvl="0">
      <w:start w:val="1"/>
      <w:numFmt w:val="decimal"/>
      <w:lvlText w:val="%1."/>
      <w:lvlJc w:val="left"/>
      <w:pPr>
        <w:tabs>
          <w:tab w:val="num" w:pos="1080"/>
        </w:tabs>
        <w:ind w:left="1080" w:hanging="360"/>
      </w:pPr>
    </w:lvl>
  </w:abstractNum>
  <w:abstractNum w:abstractNumId="3">
    <w:nsid w:val="FFFFFF7F"/>
    <w:multiLevelType w:val="singleLevel"/>
    <w:tmpl w:val="91B2E834"/>
    <w:lvl w:ilvl="0">
      <w:start w:val="1"/>
      <w:numFmt w:val="decimal"/>
      <w:lvlText w:val="%1."/>
      <w:lvlJc w:val="left"/>
      <w:pPr>
        <w:tabs>
          <w:tab w:val="num" w:pos="720"/>
        </w:tabs>
        <w:ind w:left="720" w:hanging="360"/>
      </w:pPr>
    </w:lvl>
  </w:abstractNum>
  <w:abstractNum w:abstractNumId="4">
    <w:nsid w:val="FFFFFF80"/>
    <w:multiLevelType w:val="singleLevel"/>
    <w:tmpl w:val="F9105C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7C72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747B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226D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7E7F3A"/>
    <w:lvl w:ilvl="0">
      <w:start w:val="1"/>
      <w:numFmt w:val="decimal"/>
      <w:lvlText w:val="%1."/>
      <w:lvlJc w:val="left"/>
      <w:pPr>
        <w:tabs>
          <w:tab w:val="num" w:pos="360"/>
        </w:tabs>
        <w:ind w:left="360" w:hanging="360"/>
      </w:pPr>
    </w:lvl>
  </w:abstractNum>
  <w:abstractNum w:abstractNumId="9">
    <w:nsid w:val="FFFFFF89"/>
    <w:multiLevelType w:val="singleLevel"/>
    <w:tmpl w:val="242ADC52"/>
    <w:lvl w:ilvl="0">
      <w:start w:val="1"/>
      <w:numFmt w:val="bullet"/>
      <w:lvlText w:val=""/>
      <w:lvlJc w:val="left"/>
      <w:pPr>
        <w:tabs>
          <w:tab w:val="num" w:pos="360"/>
        </w:tabs>
        <w:ind w:left="360" w:hanging="360"/>
      </w:pPr>
      <w:rPr>
        <w:rFonts w:ascii="Symbol" w:hAnsi="Symbol" w:hint="default"/>
      </w:rPr>
    </w:lvl>
  </w:abstractNum>
  <w:abstractNum w:abstractNumId="10">
    <w:nsid w:val="143B5599"/>
    <w:multiLevelType w:val="multilevel"/>
    <w:tmpl w:val="43DE04E8"/>
    <w:lvl w:ilvl="0">
      <w:start w:val="1"/>
      <w:numFmt w:val="upperLetter"/>
      <w:pStyle w:val="Pleading1L1"/>
      <w:lvlText w:val="%1."/>
      <w:lvlJc w:val="left"/>
      <w:pPr>
        <w:tabs>
          <w:tab w:val="num" w:pos="1440"/>
        </w:tabs>
        <w:ind w:left="0" w:firstLine="720"/>
      </w:pPr>
      <w:rPr>
        <w:rFonts w:ascii="Times New Roman" w:hAnsi="Times New Roman" w:cs="Times New Roman"/>
        <w:b w:val="0"/>
        <w:i w:val="0"/>
        <w:caps/>
        <w:smallCaps w:val="0"/>
        <w:strike w:val="0"/>
        <w:dstrike w:val="0"/>
        <w:outline w:val="0"/>
        <w:shadow w:val="0"/>
        <w:emboss w:val="0"/>
        <w:imprint w:val="0"/>
        <w:vanish w:val="0"/>
        <w:color w:val="auto"/>
        <w:u w:val="none"/>
        <w:vertAlign w:val="baseline"/>
      </w:rPr>
    </w:lvl>
    <w:lvl w:ilvl="1">
      <w:start w:val="1"/>
      <w:numFmt w:val="decimal"/>
      <w:pStyle w:val="Pleading1L2"/>
      <w:lvlText w:val="%2."/>
      <w:lvlJc w:val="left"/>
      <w:pPr>
        <w:tabs>
          <w:tab w:val="num" w:pos="1440"/>
        </w:tabs>
        <w:ind w:left="0" w:firstLine="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2">
      <w:start w:val="1"/>
      <w:numFmt w:val="decimal"/>
      <w:pStyle w:val="Pleading1L3"/>
      <w:lvlText w:val="%3."/>
      <w:lvlJc w:val="left"/>
      <w:pPr>
        <w:tabs>
          <w:tab w:val="num" w:pos="2160"/>
        </w:tabs>
        <w:ind w:left="216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6">
      <w:start w:val="1"/>
      <w:numFmt w:val="lowerRoman"/>
      <w:pStyle w:val="Pleading1L7"/>
      <w:lvlText w:val="(%7)"/>
      <w:lvlJc w:val="left"/>
      <w:pPr>
        <w:tabs>
          <w:tab w:val="num" w:pos="4680"/>
        </w:tabs>
        <w:ind w:left="468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7">
      <w:start w:val="1"/>
      <w:numFmt w:val="lowerLetter"/>
      <w:pStyle w:val="Pleading1L8"/>
      <w:lvlText w:val="%8)"/>
      <w:lvlJc w:val="left"/>
      <w:pPr>
        <w:tabs>
          <w:tab w:val="num" w:pos="5400"/>
        </w:tabs>
        <w:ind w:left="540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lvl w:ilvl="8">
      <w:start w:val="1"/>
      <w:numFmt w:val="lowerRoman"/>
      <w:pStyle w:val="Pleading1L9"/>
      <w:lvlText w:val="%9)"/>
      <w:lvlJc w:val="left"/>
      <w:pPr>
        <w:tabs>
          <w:tab w:val="num" w:pos="6120"/>
        </w:tabs>
        <w:ind w:left="6120" w:hanging="720"/>
      </w:pPr>
      <w:rPr>
        <w:rFonts w:ascii="Times New Roman" w:hAnsi="Times New Roman" w:cs="Times New Roman"/>
        <w:b w:val="0"/>
        <w:i w:val="0"/>
        <w:caps w:val="0"/>
        <w:strike w:val="0"/>
        <w:dstrike w:val="0"/>
        <w:outline w:val="0"/>
        <w:shadow w:val="0"/>
        <w:emboss w:val="0"/>
        <w:imprint w:val="0"/>
        <w:vanish w:val="0"/>
        <w:color w:val="auto"/>
        <w:u w:val="none"/>
        <w:vertAlign w:val="baseline"/>
      </w:rPr>
    </w:lvl>
  </w:abstractNum>
  <w:abstractNum w:abstractNumId="11">
    <w:nsid w:val="3F26436C"/>
    <w:multiLevelType w:val="multilevel"/>
    <w:tmpl w:val="49A25D8E"/>
    <w:lvl w:ilvl="0">
      <w:start w:val="1"/>
      <w:numFmt w:val="upperLetter"/>
      <w:lvlText w:val="%1."/>
      <w:lvlJc w:val="left"/>
      <w:pPr>
        <w:tabs>
          <w:tab w:val="num" w:pos="1440"/>
        </w:tabs>
        <w:ind w:left="0" w:firstLine="720"/>
      </w:pPr>
      <w:rPr>
        <w:rFonts w:ascii="Times New Roman" w:hAnsi="Times New Roman" w:cs="Times New Roman"/>
        <w:b w:val="0"/>
        <w:i w:val="0"/>
        <w:caps/>
        <w:smallCaps w:val="0"/>
        <w:color w:val="auto"/>
        <w:u w:val="none"/>
      </w:rPr>
    </w:lvl>
    <w:lvl w:ilvl="1">
      <w:start w:val="1"/>
      <w:numFmt w:val="decimal"/>
      <w:lvlText w:val="%2."/>
      <w:lvlJc w:val="left"/>
      <w:pPr>
        <w:tabs>
          <w:tab w:val="num" w:pos="1440"/>
        </w:tabs>
        <w:ind w:left="0" w:firstLine="720"/>
      </w:pPr>
      <w:rPr>
        <w:rFonts w:ascii="Times New Roman" w:hAnsi="Times New Roman" w:cs="Times New Roman"/>
        <w:b w:val="0"/>
        <w:i w:val="0"/>
        <w:caps w:val="0"/>
        <w:color w:val="auto"/>
        <w:u w:val="none"/>
      </w:rPr>
    </w:lvl>
    <w:lvl w:ilvl="2">
      <w:start w:val="1"/>
      <w:numFmt w:val="decimal"/>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lowerLetter"/>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decimal"/>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lowerRoman"/>
      <w:lvlText w:val="(%7)"/>
      <w:lvlJc w:val="left"/>
      <w:pPr>
        <w:tabs>
          <w:tab w:val="num" w:pos="4680"/>
        </w:tabs>
        <w:ind w:left="4680" w:hanging="720"/>
      </w:pPr>
      <w:rPr>
        <w:rFonts w:ascii="Times New Roman" w:hAnsi="Times New Roman" w:cs="Times New Roman"/>
        <w:b w:val="0"/>
        <w:i w:val="0"/>
        <w:caps w:val="0"/>
        <w:color w:val="auto"/>
        <w:u w:val="none"/>
      </w:rPr>
    </w:lvl>
    <w:lvl w:ilvl="7">
      <w:start w:val="1"/>
      <w:numFmt w:val="lowerLetter"/>
      <w:lvlText w:val="%8)"/>
      <w:lvlJc w:val="left"/>
      <w:pPr>
        <w:tabs>
          <w:tab w:val="num" w:pos="5400"/>
        </w:tabs>
        <w:ind w:left="5400" w:hanging="720"/>
      </w:pPr>
      <w:rPr>
        <w:rFonts w:ascii="Times New Roman" w:hAnsi="Times New Roman" w:cs="Times New Roman"/>
        <w:b w:val="0"/>
        <w:i w:val="0"/>
        <w:caps w:val="0"/>
        <w:color w:val="auto"/>
        <w:u w:val="none"/>
      </w:rPr>
    </w:lvl>
    <w:lvl w:ilvl="8">
      <w:start w:val="1"/>
      <w:numFmt w:val="lowerRoman"/>
      <w:lvlText w:val="%9)"/>
      <w:lvlJc w:val="left"/>
      <w:pPr>
        <w:tabs>
          <w:tab w:val="num" w:pos="6120"/>
        </w:tabs>
        <w:ind w:left="6120" w:hanging="720"/>
      </w:pPr>
      <w:rPr>
        <w:rFonts w:ascii="Times New Roman" w:hAnsi="Times New Roman" w:cs="Times New Roman"/>
        <w:b w:val="0"/>
        <w:i w:val="0"/>
        <w:caps w:val="0"/>
        <w:color w:val="auto"/>
        <w:u w:val="none"/>
      </w:rPr>
    </w:lvl>
  </w:abstractNum>
  <w:abstractNum w:abstractNumId="12">
    <w:nsid w:val="450A5963"/>
    <w:multiLevelType w:val="multilevel"/>
    <w:tmpl w:val="F2740F0E"/>
    <w:lvl w:ilvl="0">
      <w:start w:val="1"/>
      <w:numFmt w:val="upperLetter"/>
      <w:lvlText w:val="%1."/>
      <w:lvlJc w:val="left"/>
      <w:pPr>
        <w:tabs>
          <w:tab w:val="num" w:pos="1440"/>
        </w:tabs>
        <w:ind w:left="0" w:firstLine="720"/>
      </w:pPr>
      <w:rPr>
        <w:rFonts w:ascii="Times New Roman" w:hAnsi="Times New Roman" w:cs="Times New Roman"/>
        <w:b w:val="0"/>
        <w:i w:val="0"/>
        <w:caps/>
        <w:smallCaps w:val="0"/>
        <w:color w:val="auto"/>
        <w:u w:val="none"/>
      </w:rPr>
    </w:lvl>
    <w:lvl w:ilvl="1">
      <w:start w:val="1"/>
      <w:numFmt w:val="decimal"/>
      <w:lvlText w:val="%2."/>
      <w:lvlJc w:val="left"/>
      <w:pPr>
        <w:tabs>
          <w:tab w:val="num" w:pos="1440"/>
        </w:tabs>
        <w:ind w:left="0" w:firstLine="720"/>
      </w:pPr>
      <w:rPr>
        <w:rFonts w:ascii="Times New Roman" w:hAnsi="Times New Roman" w:cs="Times New Roman"/>
        <w:b w:val="0"/>
        <w:i w:val="0"/>
        <w:caps w:val="0"/>
        <w:color w:val="auto"/>
        <w:u w:val="none"/>
      </w:rPr>
    </w:lvl>
    <w:lvl w:ilvl="2">
      <w:start w:val="1"/>
      <w:numFmt w:val="decimal"/>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lowerLetter"/>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decimal"/>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lowerRoman"/>
      <w:lvlText w:val="(%7)"/>
      <w:lvlJc w:val="left"/>
      <w:pPr>
        <w:tabs>
          <w:tab w:val="num" w:pos="4680"/>
        </w:tabs>
        <w:ind w:left="4680" w:hanging="720"/>
      </w:pPr>
      <w:rPr>
        <w:rFonts w:ascii="Times New Roman" w:hAnsi="Times New Roman" w:cs="Times New Roman"/>
        <w:b w:val="0"/>
        <w:i w:val="0"/>
        <w:caps w:val="0"/>
        <w:color w:val="auto"/>
        <w:u w:val="none"/>
      </w:rPr>
    </w:lvl>
    <w:lvl w:ilvl="7">
      <w:start w:val="1"/>
      <w:numFmt w:val="lowerLetter"/>
      <w:lvlText w:val="%8)"/>
      <w:lvlJc w:val="left"/>
      <w:pPr>
        <w:tabs>
          <w:tab w:val="num" w:pos="5400"/>
        </w:tabs>
        <w:ind w:left="5400" w:hanging="720"/>
      </w:pPr>
      <w:rPr>
        <w:rFonts w:ascii="Times New Roman" w:hAnsi="Times New Roman" w:cs="Times New Roman"/>
        <w:b w:val="0"/>
        <w:i w:val="0"/>
        <w:caps w:val="0"/>
        <w:color w:val="auto"/>
        <w:u w:val="none"/>
      </w:rPr>
    </w:lvl>
    <w:lvl w:ilvl="8">
      <w:start w:val="1"/>
      <w:numFmt w:val="lowerRoman"/>
      <w:lvlText w:val="%9)"/>
      <w:lvlJc w:val="left"/>
      <w:pPr>
        <w:tabs>
          <w:tab w:val="num" w:pos="6120"/>
        </w:tabs>
        <w:ind w:left="6120" w:hanging="720"/>
      </w:pPr>
      <w:rPr>
        <w:rFonts w:ascii="Times New Roman" w:hAnsi="Times New Roman" w:cs="Times New Roman"/>
        <w:b w:val="0"/>
        <w:i w:val="0"/>
        <w:caps w:val="0"/>
        <w:color w:val="auto"/>
        <w:u w:val="no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71520"/>
    <w:rsid w:val="00471520"/>
    <w:rsid w:val="005D58C4"/>
    <w:rsid w:val="00B9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2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471520"/>
    <w:pPr>
      <w:keepNext/>
      <w:keepLines/>
      <w:spacing w:after="240"/>
      <w:outlineLvl w:val="0"/>
    </w:pPr>
    <w:rPr>
      <w:rFonts w:ascii="Times New Roman Bold" w:hAnsi="Times New Roman Bold" w:cs="Arial"/>
      <w:b/>
      <w:bCs/>
      <w:kern w:val="32"/>
      <w:szCs w:val="32"/>
    </w:rPr>
  </w:style>
  <w:style w:type="paragraph" w:styleId="Heading2">
    <w:name w:val="heading 2"/>
    <w:basedOn w:val="Normal"/>
    <w:next w:val="BodyText"/>
    <w:link w:val="Heading2Char"/>
    <w:qFormat/>
    <w:rsid w:val="00471520"/>
    <w:pPr>
      <w:keepNext/>
      <w:keepLines/>
      <w:spacing w:after="240"/>
      <w:outlineLvl w:val="1"/>
    </w:pPr>
    <w:rPr>
      <w:rFonts w:ascii="Times New Roman Bold" w:hAnsi="Times New Roman Bold" w:cs="Arial"/>
      <w:b/>
      <w:bCs/>
      <w:i/>
      <w:iCs/>
      <w:szCs w:val="28"/>
    </w:rPr>
  </w:style>
  <w:style w:type="paragraph" w:styleId="Heading3">
    <w:name w:val="heading 3"/>
    <w:basedOn w:val="Normal"/>
    <w:next w:val="BodyText"/>
    <w:link w:val="Heading3Char"/>
    <w:qFormat/>
    <w:rsid w:val="00471520"/>
    <w:pPr>
      <w:keepNext/>
      <w:keepLines/>
      <w:spacing w:after="240"/>
      <w:outlineLvl w:val="2"/>
    </w:pPr>
    <w:rPr>
      <w:rFonts w:ascii="Times New Roman Bold" w:hAnsi="Times New Roman Bold"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520"/>
    <w:rPr>
      <w:rFonts w:ascii="Times New Roman Bold" w:eastAsia="Times New Roman" w:hAnsi="Times New Roman Bold" w:cs="Arial"/>
      <w:b/>
      <w:bCs/>
      <w:kern w:val="32"/>
      <w:sz w:val="24"/>
      <w:szCs w:val="32"/>
    </w:rPr>
  </w:style>
  <w:style w:type="character" w:customStyle="1" w:styleId="Heading2Char">
    <w:name w:val="Heading 2 Char"/>
    <w:basedOn w:val="DefaultParagraphFont"/>
    <w:link w:val="Heading2"/>
    <w:rsid w:val="00471520"/>
    <w:rPr>
      <w:rFonts w:ascii="Times New Roman Bold" w:eastAsia="Times New Roman" w:hAnsi="Times New Roman Bold" w:cs="Arial"/>
      <w:b/>
      <w:bCs/>
      <w:i/>
      <w:iCs/>
      <w:sz w:val="24"/>
      <w:szCs w:val="28"/>
    </w:rPr>
  </w:style>
  <w:style w:type="character" w:customStyle="1" w:styleId="Heading3Char">
    <w:name w:val="Heading 3 Char"/>
    <w:basedOn w:val="DefaultParagraphFont"/>
    <w:link w:val="Heading3"/>
    <w:rsid w:val="00471520"/>
    <w:rPr>
      <w:rFonts w:ascii="Times New Roman Bold" w:eastAsia="Times New Roman" w:hAnsi="Times New Roman Bold" w:cs="Arial"/>
      <w:b/>
      <w:bCs/>
      <w:sz w:val="24"/>
      <w:szCs w:val="26"/>
    </w:rPr>
  </w:style>
  <w:style w:type="paragraph" w:styleId="BodyText">
    <w:name w:val="Body Text"/>
    <w:basedOn w:val="Normal"/>
    <w:link w:val="BodyTextChar"/>
    <w:rsid w:val="00471520"/>
    <w:pPr>
      <w:spacing w:line="480" w:lineRule="exact"/>
      <w:ind w:firstLine="720"/>
    </w:pPr>
  </w:style>
  <w:style w:type="character" w:customStyle="1" w:styleId="BodyTextChar">
    <w:name w:val="Body Text Char"/>
    <w:basedOn w:val="DefaultParagraphFont"/>
    <w:link w:val="BodyText"/>
    <w:rsid w:val="00471520"/>
    <w:rPr>
      <w:rFonts w:ascii="Times New Roman" w:eastAsia="Times New Roman" w:hAnsi="Times New Roman" w:cs="Times New Roman"/>
      <w:sz w:val="24"/>
      <w:szCs w:val="24"/>
    </w:rPr>
  </w:style>
  <w:style w:type="character" w:styleId="FootnoteReference">
    <w:name w:val="footnote reference"/>
    <w:aliases w:val="FC,Style 10,Style 12,Style 13,Style 16,Style 18,Style 20,Style 22,Style 25,Style 27,Style 28,Style 29,Style 30,Style 32,Style 33,Style 34,Style 38,Style 41,Style 42,Style 44,Style 52,Style 9,callout,fr,o"/>
    <w:qFormat/>
    <w:rsid w:val="00471520"/>
    <w:rPr>
      <w:u w:val="none"/>
      <w:vertAlign w:val="superscript"/>
    </w:rPr>
  </w:style>
  <w:style w:type="paragraph" w:styleId="Quote">
    <w:name w:val="Quote"/>
    <w:basedOn w:val="Normal"/>
    <w:next w:val="BodyText"/>
    <w:link w:val="QuoteChar"/>
    <w:qFormat/>
    <w:rsid w:val="00471520"/>
    <w:pPr>
      <w:spacing w:after="240"/>
      <w:ind w:left="1440" w:right="1440"/>
    </w:pPr>
    <w:rPr>
      <w:i/>
      <w:szCs w:val="20"/>
    </w:rPr>
  </w:style>
  <w:style w:type="character" w:customStyle="1" w:styleId="QuoteChar">
    <w:name w:val="Quote Char"/>
    <w:basedOn w:val="DefaultParagraphFont"/>
    <w:link w:val="Quote"/>
    <w:rsid w:val="00471520"/>
    <w:rPr>
      <w:rFonts w:ascii="Times New Roman" w:eastAsia="Times New Roman" w:hAnsi="Times New Roman" w:cs="Times New Roman"/>
      <w:i/>
      <w:sz w:val="24"/>
      <w:szCs w:val="20"/>
    </w:rPr>
  </w:style>
  <w:style w:type="paragraph" w:styleId="BlockText">
    <w:name w:val="Block Text"/>
    <w:basedOn w:val="Normal"/>
    <w:next w:val="BodyText"/>
    <w:rsid w:val="00471520"/>
    <w:pPr>
      <w:spacing w:after="240"/>
      <w:ind w:left="1440" w:right="1440"/>
    </w:pPr>
  </w:style>
  <w:style w:type="paragraph" w:styleId="BodyTextFirstIndent">
    <w:name w:val="Body Text First Indent"/>
    <w:basedOn w:val="Normal"/>
    <w:link w:val="BodyTextFirstIndentChar"/>
    <w:rsid w:val="00471520"/>
    <w:pPr>
      <w:spacing w:after="240"/>
      <w:ind w:firstLine="720"/>
    </w:pPr>
  </w:style>
  <w:style w:type="character" w:customStyle="1" w:styleId="BodyTextFirstIndentChar">
    <w:name w:val="Body Text First Indent Char"/>
    <w:basedOn w:val="BodyTextChar"/>
    <w:link w:val="BodyTextFirstIndent"/>
    <w:rsid w:val="00471520"/>
  </w:style>
  <w:style w:type="paragraph" w:styleId="Footer">
    <w:name w:val="footer"/>
    <w:basedOn w:val="Normal"/>
    <w:link w:val="FooterChar"/>
    <w:rsid w:val="00471520"/>
    <w:pPr>
      <w:tabs>
        <w:tab w:val="center" w:pos="4680"/>
        <w:tab w:val="right" w:pos="9360"/>
      </w:tabs>
    </w:pPr>
  </w:style>
  <w:style w:type="character" w:customStyle="1" w:styleId="FooterChar">
    <w:name w:val="Footer Char"/>
    <w:basedOn w:val="DefaultParagraphFont"/>
    <w:link w:val="Footer"/>
    <w:rsid w:val="00471520"/>
    <w:rPr>
      <w:rFonts w:ascii="Times New Roman" w:eastAsia="Times New Roman" w:hAnsi="Times New Roman" w:cs="Times New Roman"/>
      <w:sz w:val="24"/>
      <w:szCs w:val="24"/>
    </w:rPr>
  </w:style>
  <w:style w:type="paragraph" w:styleId="Header">
    <w:name w:val="header"/>
    <w:basedOn w:val="Normal"/>
    <w:link w:val="HeaderChar"/>
    <w:rsid w:val="00471520"/>
    <w:pPr>
      <w:tabs>
        <w:tab w:val="center" w:pos="4680"/>
        <w:tab w:val="right" w:pos="9360"/>
      </w:tabs>
    </w:pPr>
  </w:style>
  <w:style w:type="character" w:customStyle="1" w:styleId="HeaderChar">
    <w:name w:val="Header Char"/>
    <w:basedOn w:val="DefaultParagraphFont"/>
    <w:link w:val="Header"/>
    <w:rsid w:val="00471520"/>
    <w:rPr>
      <w:rFonts w:ascii="Times New Roman" w:eastAsia="Times New Roman" w:hAnsi="Times New Roman" w:cs="Times New Roman"/>
      <w:sz w:val="24"/>
      <w:szCs w:val="24"/>
    </w:rPr>
  </w:style>
  <w:style w:type="character" w:styleId="PageNumber">
    <w:name w:val="page number"/>
    <w:basedOn w:val="DefaultParagraphFont"/>
    <w:rsid w:val="00471520"/>
  </w:style>
  <w:style w:type="paragraph" w:styleId="Subtitle">
    <w:name w:val="Subtitle"/>
    <w:basedOn w:val="Normal"/>
    <w:next w:val="BodyText"/>
    <w:link w:val="SubtitleChar"/>
    <w:qFormat/>
    <w:rsid w:val="00471520"/>
    <w:pPr>
      <w:keepNext/>
      <w:keepLines/>
      <w:spacing w:after="240"/>
      <w:jc w:val="center"/>
      <w:outlineLvl w:val="1"/>
    </w:pPr>
    <w:rPr>
      <w:rFonts w:hAnsi="Times New Roman Bold" w:cs="Arial"/>
      <w:b/>
      <w:u w:val="single"/>
    </w:rPr>
  </w:style>
  <w:style w:type="character" w:customStyle="1" w:styleId="SubtitleChar">
    <w:name w:val="Subtitle Char"/>
    <w:basedOn w:val="DefaultParagraphFont"/>
    <w:link w:val="Subtitle"/>
    <w:rsid w:val="00471520"/>
    <w:rPr>
      <w:rFonts w:ascii="Times New Roman" w:eastAsia="Times New Roman" w:hAnsi="Times New Roman Bold" w:cs="Arial"/>
      <w:b/>
      <w:sz w:val="24"/>
      <w:szCs w:val="24"/>
      <w:u w:val="single"/>
    </w:rPr>
  </w:style>
  <w:style w:type="paragraph" w:styleId="Title">
    <w:name w:val="Title"/>
    <w:basedOn w:val="Normal"/>
    <w:next w:val="BodyText"/>
    <w:link w:val="TitleChar"/>
    <w:qFormat/>
    <w:rsid w:val="00471520"/>
    <w:pPr>
      <w:keepNext/>
      <w:keepLines/>
      <w:spacing w:after="240"/>
      <w:jc w:val="center"/>
      <w:outlineLvl w:val="0"/>
    </w:pPr>
    <w:rPr>
      <w:rFonts w:cs="Arial"/>
      <w:b/>
      <w:bCs/>
      <w:caps/>
      <w:kern w:val="28"/>
      <w:szCs w:val="32"/>
    </w:rPr>
  </w:style>
  <w:style w:type="character" w:customStyle="1" w:styleId="TitleChar">
    <w:name w:val="Title Char"/>
    <w:basedOn w:val="DefaultParagraphFont"/>
    <w:link w:val="Title"/>
    <w:rsid w:val="00471520"/>
    <w:rPr>
      <w:rFonts w:ascii="Times New Roman" w:eastAsia="Times New Roman" w:hAnsi="Times New Roman" w:cs="Arial"/>
      <w:b/>
      <w:bCs/>
      <w:caps/>
      <w:kern w:val="28"/>
      <w:sz w:val="24"/>
      <w:szCs w:val="32"/>
    </w:rPr>
  </w:style>
  <w:style w:type="character" w:customStyle="1" w:styleId="zzmpTrailerItem">
    <w:name w:val="zzmpTrailerItem"/>
    <w:rsid w:val="00471520"/>
    <w:rPr>
      <w:rFonts w:ascii="Times New Roman" w:hAnsi="Times New Roman" w:cs="Times New Roman"/>
      <w:dstrike w:val="0"/>
      <w:noProof/>
      <w:color w:val="auto"/>
      <w:spacing w:val="0"/>
      <w:position w:val="0"/>
      <w:sz w:val="16"/>
      <w:u w:val="none"/>
      <w:effect w:val="none"/>
      <w:vertAlign w:val="baseline"/>
    </w:rPr>
  </w:style>
  <w:style w:type="paragraph" w:styleId="FootnoteText">
    <w:name w:val="footnote text"/>
    <w:aliases w:val="Car,Char Ch,Char Char,FN,FT,Footnote Text Char Char,Footnote Text Char Char Char,Footnote Text Char1,Footnote Text Char1 Char Char,Footnote Text Char1 Char Char Char Char,Style 19,Style 21,Style 31,fn,fn Char Char,fnt,ft,ft Char Char"/>
    <w:basedOn w:val="Normal"/>
    <w:link w:val="FootnoteTextChar"/>
    <w:qFormat/>
    <w:rsid w:val="00471520"/>
    <w:pPr>
      <w:ind w:firstLine="720"/>
    </w:pPr>
    <w:rPr>
      <w:sz w:val="20"/>
      <w:szCs w:val="20"/>
    </w:rPr>
  </w:style>
  <w:style w:type="character" w:customStyle="1" w:styleId="FootnoteTextChar">
    <w:name w:val="Footnote Text Char"/>
    <w:aliases w:val="Car Char,Char Ch Char,Char Char Char,FN Char,FT Char,Footnote Text Char Char Char1,Footnote Text Char Char Char Char,Footnote Text Char1 Char,Footnote Text Char1 Char Char Char,Footnote Text Char1 Char Char Char Char Char,fn Char"/>
    <w:basedOn w:val="DefaultParagraphFont"/>
    <w:link w:val="FootnoteText"/>
    <w:rsid w:val="00471520"/>
    <w:rPr>
      <w:rFonts w:ascii="Times New Roman" w:eastAsia="Times New Roman" w:hAnsi="Times New Roman" w:cs="Times New Roman"/>
      <w:sz w:val="20"/>
      <w:szCs w:val="20"/>
    </w:rPr>
  </w:style>
  <w:style w:type="character" w:customStyle="1" w:styleId="CharacterStyle1">
    <w:name w:val="Character Style 1"/>
    <w:rsid w:val="00471520"/>
    <w:rPr>
      <w:b/>
      <w:bCs/>
      <w:sz w:val="24"/>
      <w:szCs w:val="24"/>
    </w:rPr>
  </w:style>
  <w:style w:type="paragraph" w:styleId="EndnoteText">
    <w:name w:val="endnote text"/>
    <w:basedOn w:val="Normal"/>
    <w:link w:val="EndnoteTextChar"/>
    <w:semiHidden/>
    <w:rsid w:val="00471520"/>
    <w:rPr>
      <w:sz w:val="20"/>
      <w:szCs w:val="20"/>
    </w:rPr>
  </w:style>
  <w:style w:type="character" w:customStyle="1" w:styleId="EndnoteTextChar">
    <w:name w:val="Endnote Text Char"/>
    <w:basedOn w:val="DefaultParagraphFont"/>
    <w:link w:val="EndnoteText"/>
    <w:semiHidden/>
    <w:rsid w:val="00471520"/>
    <w:rPr>
      <w:rFonts w:ascii="Times New Roman" w:eastAsia="Times New Roman" w:hAnsi="Times New Roman" w:cs="Times New Roman"/>
      <w:sz w:val="20"/>
      <w:szCs w:val="20"/>
    </w:rPr>
  </w:style>
  <w:style w:type="character" w:customStyle="1" w:styleId="CharacterStyle5">
    <w:name w:val="Character Style 5"/>
    <w:rsid w:val="00471520"/>
    <w:rPr>
      <w:sz w:val="24"/>
      <w:szCs w:val="24"/>
      <w:u w:val="single"/>
    </w:rPr>
  </w:style>
  <w:style w:type="paragraph" w:customStyle="1" w:styleId="Pleading1Cont1">
    <w:name w:val="Pleading1 Cont 1"/>
    <w:basedOn w:val="Normal"/>
    <w:rsid w:val="00471520"/>
    <w:pPr>
      <w:widowControl w:val="0"/>
      <w:spacing w:line="480" w:lineRule="auto"/>
    </w:pPr>
    <w:rPr>
      <w:szCs w:val="20"/>
    </w:rPr>
  </w:style>
  <w:style w:type="paragraph" w:customStyle="1" w:styleId="Pleading1Cont2">
    <w:name w:val="Pleading1 Cont 2"/>
    <w:basedOn w:val="Pleading1Cont1"/>
    <w:rsid w:val="00471520"/>
  </w:style>
  <w:style w:type="paragraph" w:customStyle="1" w:styleId="Pleading1Cont3">
    <w:name w:val="Pleading1 Cont 3"/>
    <w:basedOn w:val="Pleading1Cont2"/>
    <w:rsid w:val="00471520"/>
  </w:style>
  <w:style w:type="paragraph" w:customStyle="1" w:styleId="Pleading1Cont4">
    <w:name w:val="Pleading1 Cont 4"/>
    <w:basedOn w:val="Pleading1Cont3"/>
    <w:rsid w:val="00471520"/>
  </w:style>
  <w:style w:type="paragraph" w:customStyle="1" w:styleId="Pleading1Cont5">
    <w:name w:val="Pleading1 Cont 5"/>
    <w:basedOn w:val="Pleading1Cont4"/>
    <w:rsid w:val="00471520"/>
  </w:style>
  <w:style w:type="paragraph" w:customStyle="1" w:styleId="Pleading1Cont6">
    <w:name w:val="Pleading1 Cont 6"/>
    <w:basedOn w:val="Pleading1Cont5"/>
    <w:rsid w:val="00471520"/>
  </w:style>
  <w:style w:type="paragraph" w:customStyle="1" w:styleId="Pleading1Cont7">
    <w:name w:val="Pleading1 Cont 7"/>
    <w:basedOn w:val="Pleading1Cont6"/>
    <w:rsid w:val="00471520"/>
  </w:style>
  <w:style w:type="paragraph" w:customStyle="1" w:styleId="Pleading1Cont8">
    <w:name w:val="Pleading1 Cont 8"/>
    <w:basedOn w:val="Pleading1Cont7"/>
    <w:rsid w:val="00471520"/>
  </w:style>
  <w:style w:type="paragraph" w:customStyle="1" w:styleId="Pleading1Cont9">
    <w:name w:val="Pleading1 Cont 9"/>
    <w:basedOn w:val="Pleading1Cont8"/>
    <w:rsid w:val="00471520"/>
  </w:style>
  <w:style w:type="paragraph" w:customStyle="1" w:styleId="Pleading1L1">
    <w:name w:val="Pleading1_L1"/>
    <w:basedOn w:val="Normal"/>
    <w:next w:val="BodyText"/>
    <w:rsid w:val="00471520"/>
    <w:pPr>
      <w:numPr>
        <w:numId w:val="1"/>
      </w:numPr>
      <w:spacing w:line="480" w:lineRule="exact"/>
      <w:outlineLvl w:val="0"/>
    </w:pPr>
    <w:rPr>
      <w:szCs w:val="20"/>
    </w:rPr>
  </w:style>
  <w:style w:type="paragraph" w:customStyle="1" w:styleId="Pleading1L2">
    <w:name w:val="Pleading1_L2"/>
    <w:basedOn w:val="Pleading1L1"/>
    <w:next w:val="BodyText"/>
    <w:rsid w:val="00471520"/>
    <w:pPr>
      <w:numPr>
        <w:ilvl w:val="1"/>
      </w:numPr>
      <w:outlineLvl w:val="1"/>
    </w:pPr>
  </w:style>
  <w:style w:type="paragraph" w:customStyle="1" w:styleId="Pleading1L3">
    <w:name w:val="Pleading1_L3"/>
    <w:basedOn w:val="Pleading1L2"/>
    <w:next w:val="BodyText"/>
    <w:rsid w:val="00471520"/>
    <w:pPr>
      <w:keepNext/>
      <w:keepLines/>
      <w:widowControl w:val="0"/>
      <w:numPr>
        <w:ilvl w:val="2"/>
      </w:numPr>
      <w:spacing w:after="240" w:line="240" w:lineRule="auto"/>
      <w:ind w:right="1440"/>
      <w:outlineLvl w:val="2"/>
    </w:pPr>
  </w:style>
  <w:style w:type="paragraph" w:customStyle="1" w:styleId="Pleading1L4">
    <w:name w:val="Pleading1_L4"/>
    <w:basedOn w:val="Pleading1L3"/>
    <w:next w:val="BodyText"/>
    <w:rsid w:val="00471520"/>
    <w:pPr>
      <w:numPr>
        <w:ilvl w:val="3"/>
      </w:numPr>
      <w:outlineLvl w:val="3"/>
    </w:pPr>
  </w:style>
  <w:style w:type="paragraph" w:customStyle="1" w:styleId="Pleading1L5">
    <w:name w:val="Pleading1_L5"/>
    <w:basedOn w:val="Pleading1L4"/>
    <w:next w:val="BodyText"/>
    <w:rsid w:val="00471520"/>
    <w:pPr>
      <w:numPr>
        <w:ilvl w:val="4"/>
      </w:numPr>
      <w:outlineLvl w:val="4"/>
    </w:pPr>
  </w:style>
  <w:style w:type="paragraph" w:customStyle="1" w:styleId="Pleading1L6">
    <w:name w:val="Pleading1_L6"/>
    <w:basedOn w:val="Pleading1L5"/>
    <w:next w:val="BodyText"/>
    <w:rsid w:val="00471520"/>
    <w:pPr>
      <w:numPr>
        <w:ilvl w:val="5"/>
      </w:numPr>
      <w:outlineLvl w:val="5"/>
    </w:pPr>
  </w:style>
  <w:style w:type="paragraph" w:customStyle="1" w:styleId="Pleading1L7">
    <w:name w:val="Pleading1_L7"/>
    <w:basedOn w:val="Pleading1L6"/>
    <w:next w:val="BodyText"/>
    <w:rsid w:val="00471520"/>
    <w:pPr>
      <w:numPr>
        <w:ilvl w:val="6"/>
      </w:numPr>
      <w:outlineLvl w:val="6"/>
    </w:pPr>
  </w:style>
  <w:style w:type="paragraph" w:customStyle="1" w:styleId="Pleading1L8">
    <w:name w:val="Pleading1_L8"/>
    <w:basedOn w:val="Pleading1L7"/>
    <w:next w:val="BodyText"/>
    <w:rsid w:val="00471520"/>
    <w:pPr>
      <w:numPr>
        <w:ilvl w:val="7"/>
      </w:numPr>
      <w:outlineLvl w:val="7"/>
    </w:pPr>
  </w:style>
  <w:style w:type="paragraph" w:customStyle="1" w:styleId="Pleading1L9">
    <w:name w:val="Pleading1_L9"/>
    <w:basedOn w:val="Pleading1L8"/>
    <w:next w:val="BodyText"/>
    <w:rsid w:val="00471520"/>
    <w:pPr>
      <w:numPr>
        <w:ilvl w:val="8"/>
      </w:numPr>
      <w:outlineLvl w:val="8"/>
    </w:pPr>
  </w:style>
  <w:style w:type="paragraph" w:styleId="DocumentMap">
    <w:name w:val="Document Map"/>
    <w:basedOn w:val="Normal"/>
    <w:link w:val="DocumentMapChar"/>
    <w:semiHidden/>
    <w:rsid w:val="0047152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71520"/>
    <w:rPr>
      <w:rFonts w:ascii="Tahoma" w:eastAsia="Times New Roman" w:hAnsi="Tahoma" w:cs="Tahoma"/>
      <w:sz w:val="20"/>
      <w:szCs w:val="20"/>
      <w:shd w:val="clear" w:color="auto" w:fill="000080"/>
    </w:rPr>
  </w:style>
  <w:style w:type="character" w:styleId="EndnoteReference">
    <w:name w:val="endnote reference"/>
    <w:semiHidden/>
    <w:rsid w:val="00471520"/>
    <w:rPr>
      <w:vertAlign w:val="superscript"/>
    </w:rPr>
  </w:style>
  <w:style w:type="paragraph" w:customStyle="1" w:styleId="CenterParaBold">
    <w:name w:val="Center Para Bold"/>
    <w:basedOn w:val="Normal"/>
    <w:rsid w:val="00471520"/>
    <w:pPr>
      <w:spacing w:after="240"/>
      <w:jc w:val="center"/>
    </w:pPr>
    <w:rPr>
      <w:b/>
      <w:bCs/>
      <w:w w:val="105"/>
    </w:rPr>
  </w:style>
  <w:style w:type="paragraph" w:customStyle="1" w:styleId="Dashes">
    <w:name w:val="Dashes"/>
    <w:basedOn w:val="Normal"/>
    <w:rsid w:val="00471520"/>
    <w:pPr>
      <w:tabs>
        <w:tab w:val="left" w:leader="hyphen" w:pos="4320"/>
        <w:tab w:val="left" w:pos="5040"/>
      </w:tabs>
    </w:pPr>
    <w:rPr>
      <w:w w:val="110"/>
    </w:rPr>
  </w:style>
  <w:style w:type="table" w:styleId="TableGrid">
    <w:name w:val="Table Grid"/>
    <w:basedOn w:val="TableNormal"/>
    <w:rsid w:val="004715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ID">
    <w:name w:val="DocID"/>
    <w:rsid w:val="00471520"/>
    <w:rPr>
      <w:rFonts w:ascii="Times New Roman" w:hAnsi="Times New Roman" w:cs="Times New Roman"/>
      <w:b w:val="0"/>
      <w:i w:val="0"/>
      <w:caps w:val="0"/>
      <w:vanish w:val="0"/>
      <w:color w:val="000000"/>
      <w:sz w:val="18"/>
      <w:u w:val="none"/>
    </w:rPr>
  </w:style>
  <w:style w:type="paragraph" w:customStyle="1" w:styleId="TableText">
    <w:name w:val="Table Text"/>
    <w:aliases w:val="Table text,tbt"/>
    <w:basedOn w:val="Normal"/>
    <w:rsid w:val="00471520"/>
    <w:pPr>
      <w:widowControl w:val="0"/>
      <w:adjustRightInd w:val="0"/>
      <w:jc w:val="both"/>
      <w:textAlignment w:val="baseline"/>
    </w:pPr>
    <w:rPr>
      <w:szCs w:val="20"/>
    </w:rPr>
  </w:style>
  <w:style w:type="paragraph" w:customStyle="1" w:styleId="LeftSingle">
    <w:name w:val="Left Single"/>
    <w:basedOn w:val="Normal"/>
    <w:link w:val="LeftSingleChar"/>
    <w:uiPriority w:val="99"/>
    <w:qFormat/>
    <w:rsid w:val="00471520"/>
    <w:pPr>
      <w:spacing w:after="240"/>
    </w:pPr>
    <w:rPr>
      <w:rFonts w:eastAsia="Calibri"/>
    </w:rPr>
  </w:style>
  <w:style w:type="character" w:customStyle="1" w:styleId="LeftSingleChar">
    <w:name w:val="Left Single Char"/>
    <w:link w:val="LeftSingle"/>
    <w:uiPriority w:val="99"/>
    <w:rsid w:val="00471520"/>
    <w:rPr>
      <w:rFonts w:ascii="Times New Roman" w:eastAsia="Calibri" w:hAnsi="Times New Roman" w:cs="Times New Roman"/>
      <w:sz w:val="24"/>
      <w:szCs w:val="24"/>
    </w:rPr>
  </w:style>
  <w:style w:type="paragraph" w:styleId="Signature">
    <w:name w:val="Signature"/>
    <w:basedOn w:val="Normal"/>
    <w:link w:val="SignatureChar"/>
    <w:uiPriority w:val="99"/>
    <w:rsid w:val="00471520"/>
    <w:pPr>
      <w:tabs>
        <w:tab w:val="right" w:pos="8640"/>
      </w:tabs>
      <w:spacing w:after="480"/>
      <w:ind w:left="4320"/>
    </w:pPr>
    <w:rPr>
      <w:rFonts w:eastAsia="Calibri"/>
    </w:rPr>
  </w:style>
  <w:style w:type="character" w:customStyle="1" w:styleId="SignatureChar">
    <w:name w:val="Signature Char"/>
    <w:basedOn w:val="DefaultParagraphFont"/>
    <w:link w:val="Signature"/>
    <w:uiPriority w:val="99"/>
    <w:rsid w:val="00471520"/>
    <w:rPr>
      <w:rFonts w:ascii="Times New Roman" w:eastAsia="Calibri" w:hAnsi="Times New Roman" w:cs="Times New Roman"/>
      <w:sz w:val="24"/>
      <w:szCs w:val="24"/>
    </w:rPr>
  </w:style>
  <w:style w:type="paragraph" w:styleId="BalloonText">
    <w:name w:val="Balloon Text"/>
    <w:basedOn w:val="Normal"/>
    <w:link w:val="BalloonTextChar"/>
    <w:rsid w:val="00471520"/>
    <w:rPr>
      <w:rFonts w:ascii="Arial" w:hAnsi="Arial" w:cs="Arial"/>
      <w:sz w:val="16"/>
      <w:szCs w:val="16"/>
    </w:rPr>
  </w:style>
  <w:style w:type="character" w:customStyle="1" w:styleId="BalloonTextChar">
    <w:name w:val="Balloon Text Char"/>
    <w:basedOn w:val="DefaultParagraphFont"/>
    <w:link w:val="BalloonText"/>
    <w:rsid w:val="00471520"/>
    <w:rPr>
      <w:rFonts w:ascii="Arial" w:eastAsia="Times New Roman" w:hAnsi="Arial" w:cs="Arial"/>
      <w:sz w:val="16"/>
      <w:szCs w:val="16"/>
    </w:rPr>
  </w:style>
  <w:style w:type="character" w:styleId="CommentReference">
    <w:name w:val="annotation reference"/>
    <w:rsid w:val="00471520"/>
    <w:rPr>
      <w:sz w:val="16"/>
      <w:szCs w:val="16"/>
    </w:rPr>
  </w:style>
  <w:style w:type="paragraph" w:styleId="CommentText">
    <w:name w:val="annotation text"/>
    <w:basedOn w:val="Normal"/>
    <w:link w:val="CommentTextChar"/>
    <w:rsid w:val="00471520"/>
    <w:rPr>
      <w:sz w:val="20"/>
      <w:szCs w:val="20"/>
    </w:rPr>
  </w:style>
  <w:style w:type="character" w:customStyle="1" w:styleId="CommentTextChar">
    <w:name w:val="Comment Text Char"/>
    <w:basedOn w:val="DefaultParagraphFont"/>
    <w:link w:val="CommentText"/>
    <w:rsid w:val="00471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71520"/>
    <w:rPr>
      <w:b/>
      <w:bCs/>
    </w:rPr>
  </w:style>
  <w:style w:type="character" w:customStyle="1" w:styleId="CommentSubjectChar">
    <w:name w:val="Comment Subject Char"/>
    <w:basedOn w:val="CommentTextChar"/>
    <w:link w:val="CommentSubject"/>
    <w:rsid w:val="00471520"/>
    <w:rPr>
      <w:b/>
      <w:bCs/>
    </w:rPr>
  </w:style>
  <w:style w:type="paragraph" w:styleId="ListNumber">
    <w:name w:val="List Number"/>
    <w:basedOn w:val="Normal"/>
    <w:uiPriority w:val="99"/>
    <w:rsid w:val="00471520"/>
    <w:pPr>
      <w:tabs>
        <w:tab w:val="num" w:pos="1440"/>
      </w:tabs>
      <w:spacing w:line="480" w:lineRule="auto"/>
      <w:ind w:firstLine="720"/>
      <w:contextualSpacing/>
    </w:pPr>
    <w:rPr>
      <w:rFonts w:eastAsia="Calibri"/>
    </w:rPr>
  </w:style>
  <w:style w:type="paragraph" w:customStyle="1" w:styleId="CenterSingle">
    <w:name w:val="Center Single"/>
    <w:basedOn w:val="Normal"/>
    <w:link w:val="CenterSingleChar"/>
    <w:uiPriority w:val="99"/>
    <w:qFormat/>
    <w:rsid w:val="00471520"/>
    <w:pPr>
      <w:spacing w:after="240"/>
      <w:jc w:val="center"/>
    </w:pPr>
    <w:rPr>
      <w:rFonts w:eastAsia="Calibri"/>
    </w:rPr>
  </w:style>
  <w:style w:type="character" w:customStyle="1" w:styleId="CenterSingleChar">
    <w:name w:val="Center Single Char"/>
    <w:link w:val="CenterSingle"/>
    <w:uiPriority w:val="99"/>
    <w:rsid w:val="00471520"/>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8010</Words>
  <Characters>45663</Characters>
  <Application>Microsoft Office Word</Application>
  <DocSecurity>0</DocSecurity>
  <Lines>380</Lines>
  <Paragraphs>107</Paragraphs>
  <ScaleCrop>false</ScaleCrop>
  <Company>Computershare</Company>
  <LinksUpToDate>false</LinksUpToDate>
  <CharactersWithSpaces>53566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dc:creator>
  <cp:lastModifiedBy>Anson Admin</cp:lastModifiedBy>
  <cp:revision>2</cp:revision>
  <dcterms:created xsi:type="dcterms:W3CDTF">2015-12-15T18:05:00Z</dcterms:created>
  <dcterms:modified xsi:type="dcterms:W3CDTF">2015-12-15T18:05:00Z</dcterms:modified>
</cp:coreProperties>
</file>